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C25" w:rsidRDefault="00190AB7" w:rsidP="0045555C">
      <w:pPr>
        <w:pStyle w:val="KeinLeerraum"/>
        <w:rPr>
          <w:rFonts w:ascii="Verdana" w:hAnsi="Verdana"/>
          <w:b/>
          <w:sz w:val="32"/>
          <w:szCs w:val="32"/>
          <w:u w:val="single"/>
        </w:rPr>
      </w:pPr>
      <w:r>
        <w:rPr>
          <w:rFonts w:ascii="Verdana" w:hAnsi="Verdana"/>
          <w:sz w:val="32"/>
          <w:szCs w:val="32"/>
        </w:rPr>
        <w:t xml:space="preserve">   </w:t>
      </w:r>
      <w:bookmarkStart w:id="0" w:name="_GoBack"/>
      <w:bookmarkEnd w:id="0"/>
      <w:r w:rsidR="0045555C" w:rsidRPr="0045555C">
        <w:rPr>
          <w:rFonts w:ascii="Verdana" w:hAnsi="Verdana"/>
          <w:sz w:val="32"/>
          <w:szCs w:val="32"/>
        </w:rPr>
        <w:t xml:space="preserve">8. </w:t>
      </w:r>
      <w:r w:rsidR="0045555C" w:rsidRPr="0045555C">
        <w:rPr>
          <w:rFonts w:ascii="Verdana" w:hAnsi="Verdana"/>
          <w:b/>
          <w:sz w:val="32"/>
          <w:szCs w:val="32"/>
          <w:u w:val="single"/>
        </w:rPr>
        <w:t>Neoklassische Synthese und darüber hinaus</w:t>
      </w:r>
    </w:p>
    <w:p w:rsidR="00410706" w:rsidRPr="00410706" w:rsidRDefault="009D7171" w:rsidP="00410706">
      <w:pPr>
        <w:pStyle w:val="KeinLeerraum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32"/>
          <w:szCs w:val="32"/>
          <w:u w:val="single"/>
        </w:rPr>
        <w:br/>
      </w:r>
      <w:r w:rsidR="00410706" w:rsidRPr="00410706">
        <w:rPr>
          <w:rFonts w:ascii="Verdana" w:hAnsi="Verdana"/>
          <w:sz w:val="24"/>
          <w:szCs w:val="24"/>
        </w:rPr>
        <w:t xml:space="preserve">8.1. </w:t>
      </w:r>
      <w:r w:rsidR="00410706" w:rsidRPr="00410706">
        <w:rPr>
          <w:rFonts w:ascii="Verdana" w:hAnsi="Verdana"/>
          <w:b/>
          <w:sz w:val="24"/>
          <w:szCs w:val="24"/>
          <w:u w:val="single"/>
        </w:rPr>
        <w:t>Die Hicks-Hansen-Synthese (IS-LM)</w:t>
      </w:r>
      <w:r w:rsidR="00410706" w:rsidRPr="00410706">
        <w:rPr>
          <w:rFonts w:ascii="Verdana" w:hAnsi="Verdana"/>
          <w:sz w:val="24"/>
          <w:szCs w:val="24"/>
        </w:rPr>
        <w:t xml:space="preserve"> </w:t>
      </w:r>
    </w:p>
    <w:p w:rsidR="00410706" w:rsidRPr="00410706" w:rsidRDefault="00410706" w:rsidP="00410706">
      <w:pPr>
        <w:pStyle w:val="KeinLeerraum"/>
        <w:rPr>
          <w:rFonts w:ascii="Verdana" w:hAnsi="Verdana"/>
          <w:sz w:val="20"/>
          <w:szCs w:val="20"/>
        </w:rPr>
      </w:pPr>
      <w:r w:rsidRPr="00410706">
        <w:rPr>
          <w:rFonts w:ascii="Verdana" w:hAnsi="Verdana"/>
          <w:b/>
          <w:sz w:val="20"/>
          <w:szCs w:val="20"/>
        </w:rPr>
        <w:t>John R. Hicks</w:t>
      </w:r>
      <w:r>
        <w:rPr>
          <w:rFonts w:ascii="Verdana" w:hAnsi="Verdana"/>
          <w:sz w:val="20"/>
          <w:szCs w:val="20"/>
        </w:rPr>
        <w:t xml:space="preserve">: </w:t>
      </w:r>
      <w:r w:rsidRPr="00410706">
        <w:rPr>
          <w:rFonts w:ascii="Verdana" w:hAnsi="Verdana"/>
          <w:sz w:val="20"/>
          <w:szCs w:val="20"/>
        </w:rPr>
        <w:t>1904</w:t>
      </w:r>
      <w:r>
        <w:rPr>
          <w:rFonts w:ascii="Verdana" w:hAnsi="Verdana"/>
          <w:sz w:val="20"/>
          <w:szCs w:val="20"/>
        </w:rPr>
        <w:t xml:space="preserve"> </w:t>
      </w:r>
      <w:r w:rsidRPr="00410706">
        <w:rPr>
          <w:rFonts w:ascii="Verdana" w:hAnsi="Verdana"/>
          <w:sz w:val="20"/>
          <w:szCs w:val="20"/>
        </w:rPr>
        <w:t>—</w:t>
      </w:r>
      <w:r>
        <w:rPr>
          <w:rFonts w:ascii="Verdana" w:hAnsi="Verdana"/>
          <w:sz w:val="20"/>
          <w:szCs w:val="20"/>
        </w:rPr>
        <w:t>1989</w:t>
      </w:r>
    </w:p>
    <w:p w:rsidR="00410706" w:rsidRPr="00410706" w:rsidRDefault="00410706" w:rsidP="00410706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Pr="00410706">
        <w:rPr>
          <w:rFonts w:ascii="Verdana" w:hAnsi="Verdana"/>
          <w:sz w:val="20"/>
          <w:szCs w:val="20"/>
        </w:rPr>
        <w:t>1932 „</w:t>
      </w:r>
      <w:proofErr w:type="spellStart"/>
      <w:r w:rsidRPr="00410706">
        <w:rPr>
          <w:rFonts w:ascii="Verdana" w:hAnsi="Verdana"/>
          <w:sz w:val="20"/>
          <w:szCs w:val="20"/>
        </w:rPr>
        <w:t>Theory</w:t>
      </w:r>
      <w:proofErr w:type="spellEnd"/>
      <w:r w:rsidRPr="00410706">
        <w:rPr>
          <w:rFonts w:ascii="Verdana" w:hAnsi="Verdana"/>
          <w:sz w:val="20"/>
          <w:szCs w:val="20"/>
        </w:rPr>
        <w:t xml:space="preserve"> </w:t>
      </w:r>
      <w:proofErr w:type="spellStart"/>
      <w:r w:rsidRPr="00410706">
        <w:rPr>
          <w:rFonts w:ascii="Verdana" w:hAnsi="Verdana"/>
          <w:sz w:val="20"/>
          <w:szCs w:val="20"/>
        </w:rPr>
        <w:t>of</w:t>
      </w:r>
      <w:proofErr w:type="spellEnd"/>
      <w:r w:rsidRPr="00410706">
        <w:rPr>
          <w:rFonts w:ascii="Verdana" w:hAnsi="Verdana"/>
          <w:sz w:val="20"/>
          <w:szCs w:val="20"/>
        </w:rPr>
        <w:t xml:space="preserve"> </w:t>
      </w:r>
      <w:proofErr w:type="spellStart"/>
      <w:r w:rsidRPr="00410706">
        <w:rPr>
          <w:rFonts w:ascii="Verdana" w:hAnsi="Verdana"/>
          <w:sz w:val="20"/>
          <w:szCs w:val="20"/>
        </w:rPr>
        <w:t>Wages</w:t>
      </w:r>
      <w:proofErr w:type="spellEnd"/>
      <w:r w:rsidRPr="00410706">
        <w:rPr>
          <w:rFonts w:ascii="Verdana" w:hAnsi="Verdana"/>
          <w:sz w:val="20"/>
          <w:szCs w:val="20"/>
        </w:rPr>
        <w:t>“; 1937 Aufsatz „</w:t>
      </w:r>
      <w:proofErr w:type="spellStart"/>
      <w:r w:rsidRPr="00410706">
        <w:rPr>
          <w:rFonts w:ascii="Verdana" w:hAnsi="Verdana"/>
          <w:sz w:val="20"/>
          <w:szCs w:val="20"/>
        </w:rPr>
        <w:t>Mr</w:t>
      </w:r>
      <w:proofErr w:type="spellEnd"/>
      <w:r w:rsidRPr="00410706">
        <w:rPr>
          <w:rFonts w:ascii="Verdana" w:hAnsi="Verdana"/>
          <w:sz w:val="20"/>
          <w:szCs w:val="20"/>
        </w:rPr>
        <w:t xml:space="preserve"> Keynes </w:t>
      </w:r>
      <w:proofErr w:type="spellStart"/>
      <w:r w:rsidRPr="00410706">
        <w:rPr>
          <w:rFonts w:ascii="Verdana" w:hAnsi="Verdana"/>
          <w:sz w:val="20"/>
          <w:szCs w:val="20"/>
        </w:rPr>
        <w:t>and</w:t>
      </w:r>
      <w:proofErr w:type="spellEnd"/>
      <w:r w:rsidRPr="00410706">
        <w:rPr>
          <w:rFonts w:ascii="Verdana" w:hAnsi="Verdana"/>
          <w:sz w:val="20"/>
          <w:szCs w:val="20"/>
        </w:rPr>
        <w:t xml:space="preserve"> </w:t>
      </w:r>
      <w:proofErr w:type="spellStart"/>
      <w:r w:rsidRPr="00410706">
        <w:rPr>
          <w:rFonts w:ascii="Verdana" w:hAnsi="Verdana"/>
          <w:sz w:val="20"/>
          <w:szCs w:val="20"/>
        </w:rPr>
        <w:t>the</w:t>
      </w:r>
      <w:proofErr w:type="spellEnd"/>
      <w:r w:rsidRPr="00410706">
        <w:rPr>
          <w:rFonts w:ascii="Verdana" w:hAnsi="Verdana"/>
          <w:sz w:val="20"/>
          <w:szCs w:val="20"/>
        </w:rPr>
        <w:t xml:space="preserve"> Classics: A </w:t>
      </w:r>
      <w:proofErr w:type="spellStart"/>
      <w:r w:rsidRPr="00410706">
        <w:rPr>
          <w:rFonts w:ascii="Verdana" w:hAnsi="Verdana"/>
          <w:sz w:val="20"/>
          <w:szCs w:val="20"/>
        </w:rPr>
        <w:t>Suggested</w:t>
      </w:r>
      <w:proofErr w:type="spellEnd"/>
      <w:r w:rsidRPr="00410706">
        <w:rPr>
          <w:rFonts w:ascii="Verdana" w:hAnsi="Verdana"/>
          <w:sz w:val="20"/>
          <w:szCs w:val="20"/>
        </w:rPr>
        <w:t xml:space="preserve"> Interpretation“ (</w:t>
      </w:r>
      <w:r w:rsidRPr="00410706">
        <w:rPr>
          <w:rFonts w:ascii="Verdana" w:hAnsi="Verdana"/>
          <w:i/>
          <w:iCs/>
          <w:sz w:val="20"/>
          <w:szCs w:val="20"/>
        </w:rPr>
        <w:t>hier und schon bei Keynes: „Classics“ meint Neoklassiker!</w:t>
      </w:r>
      <w:r w:rsidRPr="00410706">
        <w:rPr>
          <w:rFonts w:ascii="Verdana" w:hAnsi="Verdana"/>
          <w:sz w:val="20"/>
          <w:szCs w:val="20"/>
        </w:rPr>
        <w:t xml:space="preserve">) 1939 „Value </w:t>
      </w:r>
      <w:proofErr w:type="spellStart"/>
      <w:r w:rsidRPr="00410706">
        <w:rPr>
          <w:rFonts w:ascii="Verdana" w:hAnsi="Verdana"/>
          <w:sz w:val="20"/>
          <w:szCs w:val="20"/>
        </w:rPr>
        <w:t>and</w:t>
      </w:r>
      <w:proofErr w:type="spellEnd"/>
      <w:r w:rsidRPr="00410706">
        <w:rPr>
          <w:rFonts w:ascii="Verdana" w:hAnsi="Verdana"/>
          <w:sz w:val="20"/>
          <w:szCs w:val="20"/>
        </w:rPr>
        <w:t xml:space="preserve"> Capital“ </w:t>
      </w:r>
    </w:p>
    <w:p w:rsidR="00410706" w:rsidRDefault="00410706" w:rsidP="00410706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- 1</w:t>
      </w:r>
      <w:r w:rsidRPr="00410706">
        <w:rPr>
          <w:rFonts w:ascii="Verdana" w:hAnsi="Verdana"/>
          <w:sz w:val="20"/>
          <w:szCs w:val="20"/>
        </w:rPr>
        <w:t>972 Nobelprei</w:t>
      </w:r>
      <w:r>
        <w:rPr>
          <w:rFonts w:ascii="Verdana" w:hAnsi="Verdana"/>
          <w:sz w:val="20"/>
          <w:szCs w:val="20"/>
        </w:rPr>
        <w:t>s (gemeinsam mit Kenneth Arrow).</w:t>
      </w:r>
    </w:p>
    <w:p w:rsidR="00410706" w:rsidRDefault="00410706" w:rsidP="00410706">
      <w:pPr>
        <w:pStyle w:val="KeinLeerraum"/>
        <w:rPr>
          <w:rFonts w:ascii="Verdana" w:hAnsi="Verdana"/>
          <w:sz w:val="20"/>
          <w:szCs w:val="20"/>
        </w:rPr>
      </w:pPr>
    </w:p>
    <w:p w:rsidR="00410706" w:rsidRPr="00410706" w:rsidRDefault="00410706" w:rsidP="00410706">
      <w:pPr>
        <w:pStyle w:val="KeinLeerraum"/>
        <w:rPr>
          <w:rFonts w:ascii="Verdana" w:hAnsi="Verdana"/>
          <w:b/>
          <w:sz w:val="20"/>
          <w:szCs w:val="20"/>
        </w:rPr>
      </w:pPr>
      <w:r w:rsidRPr="00410706">
        <w:rPr>
          <w:rFonts w:ascii="Verdana" w:hAnsi="Verdana"/>
          <w:b/>
          <w:sz w:val="20"/>
          <w:szCs w:val="20"/>
        </w:rPr>
        <w:t xml:space="preserve">Die doppelte Verknüpfung von Güter- und Geldmarkt bei Keynes (Kap. 18) </w:t>
      </w:r>
    </w:p>
    <w:p w:rsidR="00410706" w:rsidRPr="00410706" w:rsidRDefault="00410706" w:rsidP="00410706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Z</w:t>
      </w:r>
      <w:r w:rsidRPr="00410706">
        <w:rPr>
          <w:rFonts w:ascii="Verdana" w:hAnsi="Verdana"/>
          <w:sz w:val="20"/>
          <w:szCs w:val="20"/>
        </w:rPr>
        <w:t>ins (via Ertragserwartung: Investition) und Einkommen (via Konsumpräferenz: Konsum)</w:t>
      </w:r>
      <w:r>
        <w:rPr>
          <w:rFonts w:ascii="Verdana" w:hAnsi="Verdana"/>
          <w:sz w:val="20"/>
          <w:szCs w:val="20"/>
        </w:rPr>
        <w:t xml:space="preserve"> ‚bestimmen‘ die Güternachfrage.</w:t>
      </w:r>
      <w:r>
        <w:rPr>
          <w:rFonts w:ascii="Verdana" w:hAnsi="Verdana"/>
          <w:sz w:val="20"/>
          <w:szCs w:val="20"/>
        </w:rPr>
        <w:br/>
        <w:t xml:space="preserve">- </w:t>
      </w:r>
      <w:r w:rsidRPr="00410706">
        <w:rPr>
          <w:rFonts w:ascii="Verdana" w:hAnsi="Verdana"/>
          <w:sz w:val="20"/>
          <w:szCs w:val="20"/>
        </w:rPr>
        <w:t>Zins und Einkommen (beides via Liquiditätspräferenz) ‚bestimmen‘ aber ebenso die Geld</w:t>
      </w:r>
      <w:r>
        <w:rPr>
          <w:rFonts w:ascii="Verdana" w:hAnsi="Verdana"/>
          <w:sz w:val="20"/>
          <w:szCs w:val="20"/>
        </w:rPr>
        <w:t xml:space="preserve">nachfrage! </w:t>
      </w:r>
    </w:p>
    <w:p w:rsidR="00410706" w:rsidRPr="00410706" w:rsidRDefault="00410706" w:rsidP="00410706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Pr="00410706">
        <w:rPr>
          <w:rFonts w:ascii="Verdana" w:hAnsi="Verdana"/>
          <w:sz w:val="20"/>
          <w:szCs w:val="20"/>
        </w:rPr>
        <w:t xml:space="preserve">Auf einem Workshop nur Monate nach Erscheinen der General </w:t>
      </w:r>
      <w:proofErr w:type="spellStart"/>
      <w:r w:rsidRPr="00410706">
        <w:rPr>
          <w:rFonts w:ascii="Verdana" w:hAnsi="Verdana"/>
          <w:sz w:val="20"/>
          <w:szCs w:val="20"/>
        </w:rPr>
        <w:t>Theory</w:t>
      </w:r>
      <w:proofErr w:type="spellEnd"/>
      <w:r w:rsidRPr="00410706">
        <w:rPr>
          <w:rFonts w:ascii="Verdana" w:hAnsi="Verdana"/>
          <w:sz w:val="20"/>
          <w:szCs w:val="20"/>
        </w:rPr>
        <w:t xml:space="preserve"> veranschaulicht Hicks diese Zusammenhänge analog zu </w:t>
      </w:r>
      <w:proofErr w:type="spellStart"/>
      <w:r w:rsidRPr="00410706">
        <w:rPr>
          <w:rFonts w:ascii="Verdana" w:hAnsi="Verdana"/>
          <w:sz w:val="20"/>
          <w:szCs w:val="20"/>
        </w:rPr>
        <w:t>Marshall‘s</w:t>
      </w:r>
      <w:proofErr w:type="spellEnd"/>
      <w:r w:rsidRPr="00410706">
        <w:rPr>
          <w:rFonts w:ascii="Verdana" w:hAnsi="Verdana"/>
          <w:sz w:val="20"/>
          <w:szCs w:val="20"/>
        </w:rPr>
        <w:t xml:space="preserve"> Cross in einer Grafik: Dem IS-LM-Diagramm (ursprünglich IS-LL) </w:t>
      </w:r>
    </w:p>
    <w:p w:rsidR="00410706" w:rsidRPr="00410706" w:rsidRDefault="00410706" w:rsidP="00410706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Pr="00410706">
        <w:rPr>
          <w:rFonts w:ascii="Verdana" w:hAnsi="Verdana"/>
          <w:sz w:val="20"/>
          <w:szCs w:val="20"/>
        </w:rPr>
        <w:t xml:space="preserve">Beitrag kurz danach veröffentlicht: Hicks (1937) </w:t>
      </w:r>
    </w:p>
    <w:p w:rsidR="00410706" w:rsidRDefault="00410706" w:rsidP="00410706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Pr="00410706">
        <w:rPr>
          <w:rFonts w:ascii="Verdana" w:hAnsi="Verdana"/>
          <w:b/>
          <w:sz w:val="20"/>
          <w:szCs w:val="20"/>
        </w:rPr>
        <w:t>Problem</w:t>
      </w:r>
      <w:r w:rsidRPr="00410706">
        <w:rPr>
          <w:rFonts w:ascii="Verdana" w:hAnsi="Verdana"/>
          <w:sz w:val="20"/>
          <w:szCs w:val="20"/>
        </w:rPr>
        <w:t>: An diese griffige Darstellung ist eine zu einseitige Interpretation von Keynes geknüpft, die in der Keynes</w:t>
      </w:r>
      <w:r>
        <w:rPr>
          <w:rFonts w:ascii="Verdana" w:hAnsi="Verdana"/>
          <w:sz w:val="20"/>
          <w:szCs w:val="20"/>
        </w:rPr>
        <w:t>-Rezeption oft übernommen wurde.</w:t>
      </w:r>
    </w:p>
    <w:p w:rsidR="00410706" w:rsidRDefault="00410706" w:rsidP="00410706">
      <w:pPr>
        <w:pStyle w:val="KeinLeerraum"/>
        <w:rPr>
          <w:rFonts w:ascii="Verdana" w:hAnsi="Verdana"/>
          <w:sz w:val="20"/>
          <w:szCs w:val="20"/>
        </w:rPr>
      </w:pPr>
    </w:p>
    <w:p w:rsidR="00410706" w:rsidRPr="00410706" w:rsidRDefault="00410706" w:rsidP="00410706">
      <w:pPr>
        <w:pStyle w:val="KeinLeerraum"/>
        <w:rPr>
          <w:rFonts w:ascii="Verdana" w:hAnsi="Verdana"/>
          <w:b/>
          <w:sz w:val="20"/>
          <w:szCs w:val="20"/>
          <w:u w:val="single"/>
        </w:rPr>
      </w:pPr>
      <w:r w:rsidRPr="00410706">
        <w:rPr>
          <w:rFonts w:ascii="Verdana" w:hAnsi="Verdana"/>
          <w:b/>
          <w:sz w:val="20"/>
          <w:szCs w:val="20"/>
          <w:u w:val="single"/>
        </w:rPr>
        <w:t xml:space="preserve">Das IS-LM-Diagramm von Hicks (ursprünglich: IS-LL) </w:t>
      </w:r>
    </w:p>
    <w:p w:rsidR="00410706" w:rsidRPr="00410706" w:rsidRDefault="00410706" w:rsidP="00410706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V</w:t>
      </w:r>
      <w:r w:rsidRPr="00410706">
        <w:rPr>
          <w:rFonts w:ascii="Verdana" w:hAnsi="Verdana"/>
          <w:sz w:val="20"/>
          <w:szCs w:val="20"/>
        </w:rPr>
        <w:t xml:space="preserve">ertikale Achse: Zins (i), horizontale Achse: Einkommen (I, später: Y) </w:t>
      </w:r>
    </w:p>
    <w:p w:rsidR="00410706" w:rsidRPr="00410706" w:rsidRDefault="00410706" w:rsidP="00410706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Pr="00410706">
        <w:rPr>
          <w:rFonts w:ascii="Verdana" w:hAnsi="Verdana"/>
          <w:b/>
          <w:sz w:val="20"/>
          <w:szCs w:val="20"/>
        </w:rPr>
        <w:t>IS-Kurve</w:t>
      </w:r>
      <w:r w:rsidRPr="00410706">
        <w:rPr>
          <w:rFonts w:ascii="Verdana" w:hAnsi="Verdana"/>
          <w:sz w:val="20"/>
          <w:szCs w:val="20"/>
        </w:rPr>
        <w:t xml:space="preserve">: alle Kombinationen von Zins und Einkommen, für die Ersparnisse = Investitionen -&gt; </w:t>
      </w:r>
      <w:r w:rsidRPr="00410706">
        <w:rPr>
          <w:rFonts w:ascii="Verdana" w:hAnsi="Verdana"/>
          <w:i/>
          <w:iCs/>
          <w:sz w:val="20"/>
          <w:szCs w:val="20"/>
        </w:rPr>
        <w:t xml:space="preserve">Gleichgewichte der Gütermärkte </w:t>
      </w:r>
      <w:r w:rsidRPr="00410706">
        <w:rPr>
          <w:rFonts w:ascii="Verdana" w:hAnsi="Verdana"/>
          <w:sz w:val="20"/>
          <w:szCs w:val="20"/>
        </w:rPr>
        <w:t xml:space="preserve">(fallende Kurve: mit niedrigem Einkommen wenig Ersparnis, Gleichgewicht also nur bei hohem Zins, denn nur dann auch wenig Investitionen) </w:t>
      </w:r>
    </w:p>
    <w:p w:rsidR="00410706" w:rsidRPr="00410706" w:rsidRDefault="00410706" w:rsidP="00410706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Pr="00410706">
        <w:rPr>
          <w:rFonts w:ascii="Verdana" w:hAnsi="Verdana"/>
          <w:b/>
          <w:sz w:val="20"/>
          <w:szCs w:val="20"/>
        </w:rPr>
        <w:t>LL-Kurve</w:t>
      </w:r>
      <w:r w:rsidRPr="00410706">
        <w:rPr>
          <w:rFonts w:ascii="Verdana" w:hAnsi="Verdana"/>
          <w:sz w:val="20"/>
          <w:szCs w:val="20"/>
        </w:rPr>
        <w:t xml:space="preserve">: alle Kombinationen von Zins und Einkommen, für welche die Nachfrage nach Kassenhaltung (bestimmt durch i und I) dem Geldangebot entspricht -&gt; </w:t>
      </w:r>
      <w:r w:rsidRPr="00410706">
        <w:rPr>
          <w:rFonts w:ascii="Verdana" w:hAnsi="Verdana"/>
          <w:i/>
          <w:iCs/>
          <w:sz w:val="20"/>
          <w:szCs w:val="20"/>
        </w:rPr>
        <w:t xml:space="preserve">Gleichgewichte des Geldmarkts </w:t>
      </w:r>
    </w:p>
    <w:p w:rsidR="00410706" w:rsidRDefault="00410706" w:rsidP="00410706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Pr="00410706">
        <w:rPr>
          <w:rFonts w:ascii="Verdana" w:hAnsi="Verdana"/>
          <w:b/>
          <w:sz w:val="20"/>
          <w:szCs w:val="20"/>
        </w:rPr>
        <w:t>Schnittpunkt P</w:t>
      </w:r>
      <w:r w:rsidRPr="00410706">
        <w:rPr>
          <w:rFonts w:ascii="Verdana" w:hAnsi="Verdana"/>
          <w:sz w:val="20"/>
          <w:szCs w:val="20"/>
        </w:rPr>
        <w:t xml:space="preserve">: allgemeines Gleich- </w:t>
      </w:r>
      <w:proofErr w:type="spellStart"/>
      <w:r w:rsidRPr="00410706">
        <w:rPr>
          <w:rFonts w:ascii="Verdana" w:hAnsi="Verdana"/>
          <w:sz w:val="20"/>
          <w:szCs w:val="20"/>
        </w:rPr>
        <w:t>gew</w:t>
      </w:r>
      <w:r>
        <w:rPr>
          <w:rFonts w:ascii="Verdana" w:hAnsi="Verdana"/>
          <w:sz w:val="20"/>
          <w:szCs w:val="20"/>
        </w:rPr>
        <w:t>icht</w:t>
      </w:r>
      <w:proofErr w:type="spellEnd"/>
      <w:r>
        <w:rPr>
          <w:rFonts w:ascii="Verdana" w:hAnsi="Verdana"/>
          <w:sz w:val="20"/>
          <w:szCs w:val="20"/>
        </w:rPr>
        <w:t xml:space="preserve"> von Geld- und Gütermärkten.</w:t>
      </w:r>
    </w:p>
    <w:p w:rsidR="00410706" w:rsidRDefault="00410706" w:rsidP="00410706">
      <w:pPr>
        <w:pStyle w:val="KeinLeerraum"/>
        <w:rPr>
          <w:rFonts w:ascii="Verdana" w:hAnsi="Verdana"/>
          <w:sz w:val="20"/>
          <w:szCs w:val="20"/>
        </w:rPr>
      </w:pPr>
    </w:p>
    <w:p w:rsidR="00410706" w:rsidRPr="00410706" w:rsidRDefault="009D7171" w:rsidP="00410706">
      <w:pPr>
        <w:pStyle w:val="KeinLeerraum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de-DE"/>
        </w:rPr>
        <w:drawing>
          <wp:inline distT="0" distB="0" distL="0" distR="0">
            <wp:extent cx="6136384" cy="1780309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benan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3053" cy="1785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0706" w:rsidRPr="00410706" w:rsidRDefault="00410706" w:rsidP="00410706">
      <w:pPr>
        <w:pStyle w:val="KeinLeerraum"/>
        <w:rPr>
          <w:rFonts w:ascii="Verdana" w:hAnsi="Verdana"/>
          <w:sz w:val="20"/>
          <w:szCs w:val="20"/>
        </w:rPr>
      </w:pPr>
    </w:p>
    <w:p w:rsidR="00410706" w:rsidRPr="00410706" w:rsidRDefault="00410706" w:rsidP="00410706">
      <w:pPr>
        <w:pStyle w:val="KeinLeerraum"/>
        <w:rPr>
          <w:rFonts w:ascii="Verdana" w:hAnsi="Verdana"/>
          <w:b/>
          <w:sz w:val="20"/>
          <w:szCs w:val="20"/>
          <w:u w:val="single"/>
        </w:rPr>
      </w:pPr>
      <w:r w:rsidRPr="00410706">
        <w:rPr>
          <w:rFonts w:ascii="Verdana" w:hAnsi="Verdana"/>
          <w:b/>
          <w:sz w:val="20"/>
          <w:szCs w:val="20"/>
          <w:u w:val="single"/>
        </w:rPr>
        <w:t xml:space="preserve">Annahmen über die Form der LL-Kurve </w:t>
      </w:r>
    </w:p>
    <w:p w:rsidR="00410706" w:rsidRPr="00410706" w:rsidRDefault="00410706" w:rsidP="00410706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Pr="00410706">
        <w:rPr>
          <w:rFonts w:ascii="Verdana" w:hAnsi="Verdana"/>
          <w:b/>
          <w:sz w:val="20"/>
          <w:szCs w:val="20"/>
        </w:rPr>
        <w:t>Steigende Kurve</w:t>
      </w:r>
      <w:r w:rsidRPr="00410706">
        <w:rPr>
          <w:rFonts w:ascii="Verdana" w:hAnsi="Verdana"/>
          <w:sz w:val="20"/>
          <w:szCs w:val="20"/>
        </w:rPr>
        <w:t xml:space="preserve">: hohe Einkommen &lt;-&gt; hohe Geldnachfrage &lt;-&gt; hoher Zins </w:t>
      </w:r>
    </w:p>
    <w:p w:rsidR="00410706" w:rsidRPr="00410706" w:rsidRDefault="00410706" w:rsidP="00410706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Pr="00410706">
        <w:rPr>
          <w:rFonts w:ascii="Verdana" w:hAnsi="Verdana"/>
          <w:b/>
          <w:sz w:val="20"/>
          <w:szCs w:val="20"/>
        </w:rPr>
        <w:t>rechts vertikal</w:t>
      </w:r>
      <w:r w:rsidRPr="00410706">
        <w:rPr>
          <w:rFonts w:ascii="Verdana" w:hAnsi="Verdana"/>
          <w:sz w:val="20"/>
          <w:szCs w:val="20"/>
        </w:rPr>
        <w:t>: bei hohem Einkommen wird tendenziell die gesamte Geldmenge für Transaktionen gebraucht; durch Investitionsbedürfnis schnellt der Zinssatz (vergeblich) nach oben, es steht kein Geld für Investitionen zur Verfügung (</w:t>
      </w:r>
      <w:r w:rsidRPr="00410706">
        <w:rPr>
          <w:rFonts w:ascii="Verdana" w:hAnsi="Verdana"/>
          <w:i/>
          <w:iCs/>
          <w:sz w:val="20"/>
          <w:szCs w:val="20"/>
        </w:rPr>
        <w:t>Investitionen werden also unabhängig vom Zins</w:t>
      </w:r>
      <w:r w:rsidRPr="00410706">
        <w:rPr>
          <w:rFonts w:ascii="Verdana" w:hAnsi="Verdana"/>
          <w:sz w:val="20"/>
          <w:szCs w:val="20"/>
        </w:rPr>
        <w:t xml:space="preserve">) </w:t>
      </w:r>
    </w:p>
    <w:p w:rsidR="009D7171" w:rsidRDefault="00410706" w:rsidP="00410706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Pr="00410706">
        <w:rPr>
          <w:rFonts w:ascii="Verdana" w:hAnsi="Verdana"/>
          <w:b/>
          <w:sz w:val="20"/>
          <w:szCs w:val="20"/>
        </w:rPr>
        <w:t>links fast horizontal</w:t>
      </w:r>
      <w:r w:rsidRPr="00410706">
        <w:rPr>
          <w:rFonts w:ascii="Verdana" w:hAnsi="Verdana"/>
          <w:sz w:val="20"/>
          <w:szCs w:val="20"/>
        </w:rPr>
        <w:t>: Idee eines Minimalzinses, unterhalb dessen nur noch gehortet würde, nicht mehr angelegt/investiert (Zins zu niedrig, um für</w:t>
      </w:r>
      <w:r w:rsidR="009D7171">
        <w:rPr>
          <w:rFonts w:ascii="Verdana" w:hAnsi="Verdana"/>
          <w:sz w:val="20"/>
          <w:szCs w:val="20"/>
        </w:rPr>
        <w:t xml:space="preserve"> Anlagerisiko zu entschädigen).</w:t>
      </w:r>
    </w:p>
    <w:p w:rsidR="009D7171" w:rsidRDefault="009D7171" w:rsidP="00410706">
      <w:pPr>
        <w:pStyle w:val="KeinLeerraum"/>
        <w:rPr>
          <w:rFonts w:ascii="Verdana" w:hAnsi="Verdana"/>
          <w:sz w:val="20"/>
          <w:szCs w:val="20"/>
        </w:rPr>
      </w:pPr>
    </w:p>
    <w:p w:rsidR="009D7171" w:rsidRPr="009D7171" w:rsidRDefault="009D7171" w:rsidP="009D7171">
      <w:pPr>
        <w:pStyle w:val="KeinLeerraum"/>
        <w:rPr>
          <w:rFonts w:ascii="Verdana" w:hAnsi="Verdana"/>
          <w:b/>
          <w:sz w:val="20"/>
          <w:szCs w:val="20"/>
        </w:rPr>
      </w:pPr>
      <w:r w:rsidRPr="009D7171">
        <w:rPr>
          <w:rFonts w:ascii="Verdana" w:hAnsi="Verdana"/>
          <w:b/>
          <w:sz w:val="20"/>
          <w:szCs w:val="20"/>
        </w:rPr>
        <w:t xml:space="preserve">Die Wirkung einer Geldmengenausweitung im Diagramm von Hicks </w:t>
      </w:r>
      <w:r>
        <w:rPr>
          <w:rFonts w:ascii="Verdana" w:hAnsi="Verdana"/>
          <w:sz w:val="20"/>
          <w:szCs w:val="20"/>
        </w:rPr>
        <w:t>- B</w:t>
      </w:r>
      <w:r w:rsidRPr="009D7171">
        <w:rPr>
          <w:rFonts w:ascii="Verdana" w:hAnsi="Verdana"/>
          <w:sz w:val="20"/>
          <w:szCs w:val="20"/>
        </w:rPr>
        <w:t xml:space="preserve">ei normalen Investitionsanreizen bzw. Konsumneigungen liegt IS-Kurve mittig/rechts </w:t>
      </w:r>
      <w:r w:rsidRPr="009D7171">
        <w:rPr>
          <w:rFonts w:ascii="Verdana" w:hAnsi="Verdana"/>
          <w:sz w:val="20"/>
          <w:szCs w:val="20"/>
        </w:rPr>
        <w:lastRenderedPageBreak/>
        <w:t>(</w:t>
      </w:r>
      <w:r>
        <w:rPr>
          <w:rFonts w:ascii="Verdana" w:hAnsi="Verdana"/>
          <w:sz w:val="20"/>
          <w:szCs w:val="20"/>
        </w:rPr>
        <w:t>„</w:t>
      </w:r>
      <w:r w:rsidRPr="009D7171">
        <w:rPr>
          <w:rFonts w:ascii="Verdana" w:hAnsi="Verdana"/>
          <w:color w:val="0070C0"/>
          <w:sz w:val="20"/>
          <w:szCs w:val="20"/>
        </w:rPr>
        <w:t>[</w:t>
      </w:r>
      <w:proofErr w:type="spellStart"/>
      <w:r w:rsidRPr="009D7171">
        <w:rPr>
          <w:rFonts w:ascii="Verdana" w:hAnsi="Verdana"/>
          <w:color w:val="0070C0"/>
          <w:sz w:val="20"/>
          <w:szCs w:val="20"/>
        </w:rPr>
        <w:t>neo</w:t>
      </w:r>
      <w:proofErr w:type="spellEnd"/>
      <w:r w:rsidRPr="009D7171">
        <w:rPr>
          <w:rFonts w:ascii="Verdana" w:hAnsi="Verdana"/>
          <w:color w:val="0070C0"/>
          <w:sz w:val="20"/>
          <w:szCs w:val="20"/>
        </w:rPr>
        <w:t>]„klassischer Bereich</w:t>
      </w:r>
      <w:r w:rsidRPr="009D7171">
        <w:rPr>
          <w:rFonts w:ascii="Verdana" w:hAnsi="Verdana"/>
          <w:sz w:val="20"/>
          <w:szCs w:val="20"/>
        </w:rPr>
        <w:t>“): Geldmengenausweitung (</w:t>
      </w:r>
      <w:r w:rsidRPr="009D7171">
        <w:rPr>
          <w:rFonts w:ascii="Verdana" w:hAnsi="Verdana"/>
          <w:i/>
          <w:iCs/>
          <w:sz w:val="20"/>
          <w:szCs w:val="20"/>
        </w:rPr>
        <w:t>= LL nach rechts verschieben</w:t>
      </w:r>
      <w:r w:rsidRPr="009D7171">
        <w:rPr>
          <w:rFonts w:ascii="Verdana" w:hAnsi="Verdana"/>
          <w:sz w:val="20"/>
          <w:szCs w:val="20"/>
        </w:rPr>
        <w:t xml:space="preserve">) =&gt; i sinkt =&gt; Investitionsanreiz =&gt; I steigt </w:t>
      </w:r>
    </w:p>
    <w:p w:rsidR="009D7171" w:rsidRPr="009D7171" w:rsidRDefault="009D7171" w:rsidP="009D7171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Pr="009D7171">
        <w:rPr>
          <w:rFonts w:ascii="Verdana" w:hAnsi="Verdana"/>
          <w:sz w:val="20"/>
          <w:szCs w:val="20"/>
        </w:rPr>
        <w:t>Im Krisenfall liegt IS-Kurve links („</w:t>
      </w:r>
      <w:proofErr w:type="spellStart"/>
      <w:r w:rsidRPr="009D7171">
        <w:rPr>
          <w:rFonts w:ascii="Verdana" w:hAnsi="Verdana"/>
          <w:color w:val="FF0000"/>
          <w:sz w:val="20"/>
          <w:szCs w:val="20"/>
        </w:rPr>
        <w:t>keynesianischer</w:t>
      </w:r>
      <w:proofErr w:type="spellEnd"/>
      <w:r w:rsidRPr="009D7171">
        <w:rPr>
          <w:rFonts w:ascii="Verdana" w:hAnsi="Verdana"/>
          <w:color w:val="FF0000"/>
          <w:sz w:val="20"/>
          <w:szCs w:val="20"/>
        </w:rPr>
        <w:t xml:space="preserve"> Bereich</w:t>
      </w:r>
      <w:r w:rsidRPr="009D7171">
        <w:rPr>
          <w:rFonts w:ascii="Verdana" w:hAnsi="Verdana"/>
          <w:sz w:val="20"/>
          <w:szCs w:val="20"/>
        </w:rPr>
        <w:t>“), Geldmengenausweitung wirkt kaum („</w:t>
      </w:r>
      <w:r w:rsidRPr="009D7171">
        <w:rPr>
          <w:rFonts w:ascii="Verdana" w:hAnsi="Verdana"/>
          <w:b/>
          <w:sz w:val="20"/>
          <w:szCs w:val="20"/>
          <w:u w:val="single"/>
        </w:rPr>
        <w:t>Liquiditätsfalle</w:t>
      </w:r>
      <w:r w:rsidRPr="009D7171">
        <w:rPr>
          <w:rFonts w:ascii="Verdana" w:hAnsi="Verdana"/>
          <w:sz w:val="20"/>
          <w:szCs w:val="20"/>
        </w:rPr>
        <w:t xml:space="preserve">“) </w:t>
      </w:r>
    </w:p>
    <w:p w:rsidR="009D7171" w:rsidRDefault="009D7171" w:rsidP="009D7171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Pr="009D7171">
        <w:rPr>
          <w:rFonts w:ascii="Verdana" w:hAnsi="Verdana"/>
          <w:sz w:val="20"/>
          <w:szCs w:val="20"/>
        </w:rPr>
        <w:t xml:space="preserve">Im </w:t>
      </w:r>
      <w:proofErr w:type="spellStart"/>
      <w:r w:rsidRPr="009D7171">
        <w:rPr>
          <w:rFonts w:ascii="Verdana" w:hAnsi="Verdana"/>
          <w:sz w:val="20"/>
          <w:szCs w:val="20"/>
        </w:rPr>
        <w:t>keynesianischen</w:t>
      </w:r>
      <w:proofErr w:type="spellEnd"/>
      <w:r w:rsidRPr="009D7171">
        <w:rPr>
          <w:rFonts w:ascii="Verdana" w:hAnsi="Verdana"/>
          <w:sz w:val="20"/>
          <w:szCs w:val="20"/>
        </w:rPr>
        <w:t xml:space="preserve"> Bereich hilft nur noch, die IS-Kurve mit Fiskalpolitik (gesteigerte Staatsnac</w:t>
      </w:r>
      <w:r>
        <w:rPr>
          <w:rFonts w:ascii="Verdana" w:hAnsi="Verdana"/>
          <w:sz w:val="20"/>
          <w:szCs w:val="20"/>
        </w:rPr>
        <w:t>hfrage) nach rechts zu schieben.</w:t>
      </w:r>
    </w:p>
    <w:p w:rsidR="009D7171" w:rsidRDefault="009D7171" w:rsidP="009D7171">
      <w:pPr>
        <w:pStyle w:val="KeinLeerraum"/>
        <w:rPr>
          <w:rFonts w:ascii="Verdana" w:hAnsi="Verdana"/>
          <w:sz w:val="20"/>
          <w:szCs w:val="20"/>
        </w:rPr>
      </w:pPr>
    </w:p>
    <w:p w:rsidR="009D7171" w:rsidRPr="009D7171" w:rsidRDefault="009D7171" w:rsidP="009D7171">
      <w:pPr>
        <w:pStyle w:val="KeinLeerraum"/>
        <w:rPr>
          <w:rFonts w:ascii="Verdana" w:hAnsi="Verdana"/>
          <w:b/>
          <w:sz w:val="20"/>
          <w:szCs w:val="20"/>
        </w:rPr>
      </w:pPr>
      <w:r w:rsidRPr="009D7171">
        <w:rPr>
          <w:rFonts w:ascii="Verdana" w:hAnsi="Verdana"/>
          <w:b/>
          <w:sz w:val="20"/>
          <w:szCs w:val="20"/>
        </w:rPr>
        <w:t>“</w:t>
      </w:r>
      <w:proofErr w:type="spellStart"/>
      <w:r w:rsidRPr="009D7171">
        <w:rPr>
          <w:rFonts w:ascii="Verdana" w:hAnsi="Verdana"/>
          <w:b/>
          <w:sz w:val="20"/>
          <w:szCs w:val="20"/>
        </w:rPr>
        <w:t>Mr</w:t>
      </w:r>
      <w:proofErr w:type="spellEnd"/>
      <w:r w:rsidRPr="009D7171">
        <w:rPr>
          <w:rFonts w:ascii="Verdana" w:hAnsi="Verdana"/>
          <w:b/>
          <w:sz w:val="20"/>
          <w:szCs w:val="20"/>
        </w:rPr>
        <w:t xml:space="preserve"> Keynes </w:t>
      </w:r>
      <w:proofErr w:type="spellStart"/>
      <w:r w:rsidRPr="009D7171">
        <w:rPr>
          <w:rFonts w:ascii="Verdana" w:hAnsi="Verdana"/>
          <w:b/>
          <w:sz w:val="20"/>
          <w:szCs w:val="20"/>
        </w:rPr>
        <w:t>and</w:t>
      </w:r>
      <w:proofErr w:type="spellEnd"/>
      <w:r w:rsidRPr="009D7171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9D7171">
        <w:rPr>
          <w:rFonts w:ascii="Verdana" w:hAnsi="Verdana"/>
          <w:b/>
          <w:sz w:val="20"/>
          <w:szCs w:val="20"/>
        </w:rPr>
        <w:t>the</w:t>
      </w:r>
      <w:proofErr w:type="spellEnd"/>
      <w:r w:rsidRPr="009D7171">
        <w:rPr>
          <w:rFonts w:ascii="Verdana" w:hAnsi="Verdana"/>
          <w:b/>
          <w:sz w:val="20"/>
          <w:szCs w:val="20"/>
        </w:rPr>
        <w:t xml:space="preserve"> Classics”: Eine folgenschwere Interpretation </w:t>
      </w:r>
    </w:p>
    <w:p w:rsidR="009D7171" w:rsidRPr="009D7171" w:rsidRDefault="009D7171" w:rsidP="009D7171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H</w:t>
      </w:r>
      <w:r w:rsidRPr="009D7171">
        <w:rPr>
          <w:rFonts w:ascii="Verdana" w:hAnsi="Verdana"/>
          <w:sz w:val="20"/>
          <w:szCs w:val="20"/>
        </w:rPr>
        <w:t xml:space="preserve">icks versucht den Ansatz von Keynes und die Neoklassik durch eine Fallunterscheidung zu versöhnen: Es gibt zwei makroökonomische Fälle, und die Theorien beschreiben je einen davon richtig </w:t>
      </w:r>
    </w:p>
    <w:p w:rsidR="009D7171" w:rsidRPr="009D7171" w:rsidRDefault="009D7171" w:rsidP="009D7171">
      <w:pPr>
        <w:pStyle w:val="KeinLeerraum"/>
        <w:rPr>
          <w:rFonts w:ascii="Verdana" w:hAnsi="Verdana"/>
          <w:sz w:val="20"/>
          <w:szCs w:val="20"/>
        </w:rPr>
      </w:pPr>
      <w:r w:rsidRPr="009D7171">
        <w:rPr>
          <w:rFonts w:ascii="Verdana" w:hAnsi="Verdana"/>
          <w:sz w:val="20"/>
          <w:szCs w:val="20"/>
        </w:rPr>
        <w:t>−</w:t>
      </w:r>
      <w:r>
        <w:rPr>
          <w:rFonts w:ascii="Verdana" w:hAnsi="Verdana"/>
          <w:sz w:val="20"/>
          <w:szCs w:val="20"/>
        </w:rPr>
        <w:t xml:space="preserve"> P</w:t>
      </w:r>
      <w:r w:rsidRPr="009D7171">
        <w:rPr>
          <w:rFonts w:ascii="Verdana" w:hAnsi="Verdana"/>
          <w:sz w:val="20"/>
          <w:szCs w:val="20"/>
        </w:rPr>
        <w:t xml:space="preserve">roblem: Keynes wird auf die Situation der Liquiditätsfalle reduziert </w:t>
      </w:r>
    </w:p>
    <w:p w:rsidR="009D7171" w:rsidRPr="009D7171" w:rsidRDefault="009D7171" w:rsidP="009D7171">
      <w:pPr>
        <w:pStyle w:val="KeinLeerraum"/>
        <w:rPr>
          <w:rFonts w:ascii="Verdana" w:hAnsi="Verdana"/>
          <w:sz w:val="20"/>
          <w:szCs w:val="20"/>
        </w:rPr>
      </w:pPr>
      <w:r w:rsidRPr="009D7171">
        <w:rPr>
          <w:rFonts w:ascii="Verdana" w:hAnsi="Verdana"/>
          <w:sz w:val="20"/>
          <w:szCs w:val="20"/>
        </w:rPr>
        <w:t>−</w:t>
      </w:r>
      <w:r>
        <w:rPr>
          <w:rFonts w:ascii="Verdana" w:hAnsi="Verdana"/>
          <w:sz w:val="20"/>
          <w:szCs w:val="20"/>
        </w:rPr>
        <w:t xml:space="preserve"> K</w:t>
      </w:r>
      <w:r w:rsidRPr="009D7171">
        <w:rPr>
          <w:rFonts w:ascii="Verdana" w:hAnsi="Verdana"/>
          <w:sz w:val="20"/>
          <w:szCs w:val="20"/>
        </w:rPr>
        <w:t xml:space="preserve">eynes selbst betrachtet Liquiditätsfalle aber als ungewöhnlichen Sonderfall (für den er kein reales Beispiel kenne!); er sieht IS auch im ‚mittleren Bereich‘ </w:t>
      </w:r>
    </w:p>
    <w:p w:rsidR="009D7171" w:rsidRPr="009D7171" w:rsidRDefault="009D7171" w:rsidP="009D7171">
      <w:pPr>
        <w:pStyle w:val="KeinLeerraum"/>
        <w:rPr>
          <w:rFonts w:ascii="Verdana" w:hAnsi="Verdana"/>
          <w:sz w:val="20"/>
          <w:szCs w:val="20"/>
        </w:rPr>
      </w:pPr>
      <w:r w:rsidRPr="009D7171">
        <w:rPr>
          <w:rFonts w:ascii="Verdana" w:hAnsi="Verdana"/>
          <w:sz w:val="20"/>
          <w:szCs w:val="20"/>
        </w:rPr>
        <w:t>−</w:t>
      </w:r>
      <w:r>
        <w:rPr>
          <w:rFonts w:ascii="Verdana" w:hAnsi="Verdana"/>
          <w:sz w:val="20"/>
          <w:szCs w:val="20"/>
        </w:rPr>
        <w:t xml:space="preserve"> D</w:t>
      </w:r>
      <w:r w:rsidRPr="009D7171">
        <w:rPr>
          <w:rFonts w:ascii="Verdana" w:hAnsi="Verdana"/>
          <w:sz w:val="20"/>
          <w:szCs w:val="20"/>
        </w:rPr>
        <w:t xml:space="preserve">och die Interpretation von Hicks spielt eine zentrale Rolle in der Verbreitung und Interpretation der General </w:t>
      </w:r>
      <w:proofErr w:type="spellStart"/>
      <w:r w:rsidRPr="009D7171">
        <w:rPr>
          <w:rFonts w:ascii="Verdana" w:hAnsi="Verdana"/>
          <w:sz w:val="20"/>
          <w:szCs w:val="20"/>
        </w:rPr>
        <w:t>Theory</w:t>
      </w:r>
      <w:proofErr w:type="spellEnd"/>
      <w:r w:rsidRPr="009D7171">
        <w:rPr>
          <w:rFonts w:ascii="Verdana" w:hAnsi="Verdana"/>
          <w:sz w:val="20"/>
          <w:szCs w:val="20"/>
        </w:rPr>
        <w:t xml:space="preserve"> (u.a. übernommen durch den Harvard-Ökonomen Alvin Hansen (1887–1975), aka „The American Keynes“) </w:t>
      </w:r>
    </w:p>
    <w:p w:rsidR="009D7171" w:rsidRDefault="009D7171" w:rsidP="009D7171">
      <w:pPr>
        <w:pStyle w:val="KeinLeerraum"/>
        <w:rPr>
          <w:rFonts w:ascii="Verdana" w:hAnsi="Verdana" w:cs="Cambria"/>
          <w:sz w:val="20"/>
          <w:szCs w:val="20"/>
        </w:rPr>
      </w:pPr>
      <w:r w:rsidRPr="009D7171">
        <w:rPr>
          <w:rFonts w:ascii="Verdana" w:hAnsi="Verdana"/>
          <w:sz w:val="20"/>
          <w:szCs w:val="20"/>
        </w:rPr>
        <w:t>−</w:t>
      </w:r>
      <w:r>
        <w:rPr>
          <w:rFonts w:ascii="Verdana" w:hAnsi="Verdana"/>
          <w:sz w:val="20"/>
          <w:szCs w:val="20"/>
        </w:rPr>
        <w:t xml:space="preserve"> </w:t>
      </w:r>
      <w:r w:rsidRPr="009D7171">
        <w:rPr>
          <w:rFonts w:ascii="Verdana" w:hAnsi="Verdana"/>
          <w:sz w:val="20"/>
          <w:szCs w:val="20"/>
        </w:rPr>
        <w:t xml:space="preserve">Daher oft Votum von Hicks (1937) übernommen, welches Keynes nicht teilt: </w:t>
      </w:r>
      <w:r w:rsidRPr="009D7171">
        <w:rPr>
          <w:rFonts w:ascii="Verdana" w:hAnsi="Verdana" w:cs="Cambria"/>
          <w:sz w:val="20"/>
          <w:szCs w:val="20"/>
        </w:rPr>
        <w:t xml:space="preserve">„So </w:t>
      </w:r>
      <w:proofErr w:type="spellStart"/>
      <w:r w:rsidRPr="009D7171">
        <w:rPr>
          <w:rFonts w:ascii="Verdana" w:hAnsi="Verdana" w:cs="Cambria"/>
          <w:sz w:val="20"/>
          <w:szCs w:val="20"/>
        </w:rPr>
        <w:t>the</w:t>
      </w:r>
      <w:proofErr w:type="spellEnd"/>
      <w:r w:rsidRPr="009D7171">
        <w:rPr>
          <w:rFonts w:ascii="Verdana" w:hAnsi="Verdana" w:cs="Cambria"/>
          <w:sz w:val="20"/>
          <w:szCs w:val="20"/>
        </w:rPr>
        <w:t xml:space="preserve"> General </w:t>
      </w:r>
      <w:proofErr w:type="spellStart"/>
      <w:r w:rsidRPr="009D7171">
        <w:rPr>
          <w:rFonts w:ascii="Verdana" w:hAnsi="Verdana" w:cs="Cambria"/>
          <w:sz w:val="20"/>
          <w:szCs w:val="20"/>
        </w:rPr>
        <w:t>Theory</w:t>
      </w:r>
      <w:proofErr w:type="spellEnd"/>
      <w:r w:rsidRPr="009D7171">
        <w:rPr>
          <w:rFonts w:ascii="Verdana" w:hAnsi="Verdana" w:cs="Cambria"/>
          <w:sz w:val="20"/>
          <w:szCs w:val="20"/>
        </w:rPr>
        <w:t xml:space="preserve"> </w:t>
      </w:r>
      <w:proofErr w:type="spellStart"/>
      <w:r w:rsidRPr="009D7171">
        <w:rPr>
          <w:rFonts w:ascii="Verdana" w:hAnsi="Verdana" w:cs="Cambria"/>
          <w:sz w:val="20"/>
          <w:szCs w:val="20"/>
        </w:rPr>
        <w:t>of</w:t>
      </w:r>
      <w:proofErr w:type="spellEnd"/>
      <w:r w:rsidRPr="009D7171">
        <w:rPr>
          <w:rFonts w:ascii="Verdana" w:hAnsi="Verdana" w:cs="Cambria"/>
          <w:sz w:val="20"/>
          <w:szCs w:val="20"/>
        </w:rPr>
        <w:t xml:space="preserve"> </w:t>
      </w:r>
      <w:proofErr w:type="spellStart"/>
      <w:r w:rsidRPr="009D7171">
        <w:rPr>
          <w:rFonts w:ascii="Verdana" w:hAnsi="Verdana" w:cs="Cambria"/>
          <w:sz w:val="20"/>
          <w:szCs w:val="20"/>
        </w:rPr>
        <w:t>Employment</w:t>
      </w:r>
      <w:proofErr w:type="spellEnd"/>
      <w:r w:rsidRPr="009D7171">
        <w:rPr>
          <w:rFonts w:ascii="Verdana" w:hAnsi="Verdana" w:cs="Cambria"/>
          <w:sz w:val="20"/>
          <w:szCs w:val="20"/>
        </w:rPr>
        <w:t xml:space="preserve"> </w:t>
      </w:r>
      <w:proofErr w:type="spellStart"/>
      <w:r w:rsidRPr="009D7171">
        <w:rPr>
          <w:rFonts w:ascii="Verdana" w:hAnsi="Verdana" w:cs="Cambria"/>
          <w:sz w:val="20"/>
          <w:szCs w:val="20"/>
        </w:rPr>
        <w:t>i</w:t>
      </w:r>
      <w:r>
        <w:rPr>
          <w:rFonts w:ascii="Verdana" w:hAnsi="Verdana" w:cs="Cambria"/>
          <w:sz w:val="20"/>
          <w:szCs w:val="20"/>
        </w:rPr>
        <w:t>s</w:t>
      </w:r>
      <w:proofErr w:type="spellEnd"/>
      <w:r>
        <w:rPr>
          <w:rFonts w:ascii="Verdana" w:hAnsi="Verdana" w:cs="Cambria"/>
          <w:sz w:val="20"/>
          <w:szCs w:val="20"/>
        </w:rPr>
        <w:t xml:space="preserve"> </w:t>
      </w:r>
      <w:proofErr w:type="spellStart"/>
      <w:r>
        <w:rPr>
          <w:rFonts w:ascii="Verdana" w:hAnsi="Verdana" w:cs="Cambria"/>
          <w:sz w:val="20"/>
          <w:szCs w:val="20"/>
        </w:rPr>
        <w:t>the</w:t>
      </w:r>
      <w:proofErr w:type="spellEnd"/>
      <w:r>
        <w:rPr>
          <w:rFonts w:ascii="Verdana" w:hAnsi="Verdana" w:cs="Cambria"/>
          <w:sz w:val="20"/>
          <w:szCs w:val="20"/>
        </w:rPr>
        <w:t xml:space="preserve"> Economics </w:t>
      </w:r>
      <w:proofErr w:type="spellStart"/>
      <w:r>
        <w:rPr>
          <w:rFonts w:ascii="Verdana" w:hAnsi="Verdana" w:cs="Cambria"/>
          <w:sz w:val="20"/>
          <w:szCs w:val="20"/>
        </w:rPr>
        <w:t>of</w:t>
      </w:r>
      <w:proofErr w:type="spellEnd"/>
      <w:r>
        <w:rPr>
          <w:rFonts w:ascii="Verdana" w:hAnsi="Verdana" w:cs="Cambria"/>
          <w:sz w:val="20"/>
          <w:szCs w:val="20"/>
        </w:rPr>
        <w:t xml:space="preserve"> Depression.“</w:t>
      </w:r>
    </w:p>
    <w:p w:rsidR="009D7171" w:rsidRDefault="009D7171" w:rsidP="009D7171">
      <w:pPr>
        <w:pStyle w:val="KeinLeerraum"/>
        <w:rPr>
          <w:rFonts w:ascii="Verdana" w:hAnsi="Verdana" w:cs="Cambria"/>
          <w:sz w:val="20"/>
          <w:szCs w:val="20"/>
        </w:rPr>
      </w:pPr>
    </w:p>
    <w:p w:rsidR="009D7171" w:rsidRPr="009D7171" w:rsidRDefault="009D7171" w:rsidP="009D7171">
      <w:pPr>
        <w:pStyle w:val="KeinLeerraum"/>
        <w:rPr>
          <w:rFonts w:ascii="Verdana" w:hAnsi="Verdana" w:cs="Cambria"/>
          <w:sz w:val="24"/>
          <w:szCs w:val="24"/>
        </w:rPr>
      </w:pPr>
      <w:r w:rsidRPr="009D7171">
        <w:rPr>
          <w:rFonts w:ascii="Verdana" w:hAnsi="Verdana" w:cs="Cambria"/>
          <w:sz w:val="24"/>
          <w:szCs w:val="24"/>
        </w:rPr>
        <w:t xml:space="preserve">8.2. </w:t>
      </w:r>
      <w:r w:rsidRPr="009D7171">
        <w:rPr>
          <w:rFonts w:ascii="Verdana" w:hAnsi="Verdana" w:cs="Cambria"/>
          <w:b/>
          <w:sz w:val="24"/>
          <w:szCs w:val="24"/>
          <w:u w:val="single"/>
        </w:rPr>
        <w:t>Neoklassische Synthese</w:t>
      </w:r>
    </w:p>
    <w:p w:rsidR="009D7171" w:rsidRPr="009D7171" w:rsidRDefault="009D7171" w:rsidP="009D7171">
      <w:pPr>
        <w:pStyle w:val="KeinLeerraum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Franco Modigliani</w:t>
      </w:r>
      <w:r w:rsidRPr="009D7171">
        <w:rPr>
          <w:rFonts w:ascii="Verdana" w:hAnsi="Verdana"/>
          <w:sz w:val="20"/>
          <w:szCs w:val="20"/>
        </w:rPr>
        <w:t>: 1918 —</w:t>
      </w:r>
      <w:r>
        <w:rPr>
          <w:rFonts w:ascii="Verdana" w:hAnsi="Verdana"/>
          <w:sz w:val="20"/>
          <w:szCs w:val="20"/>
        </w:rPr>
        <w:t>2003</w:t>
      </w:r>
      <w:r w:rsidRPr="009D7171">
        <w:rPr>
          <w:rFonts w:ascii="Verdana" w:hAnsi="Verdana"/>
          <w:sz w:val="20"/>
          <w:szCs w:val="20"/>
        </w:rPr>
        <w:t xml:space="preserve"> </w:t>
      </w:r>
    </w:p>
    <w:p w:rsidR="009D7171" w:rsidRPr="009D7171" w:rsidRDefault="009D7171" w:rsidP="009D7171">
      <w:pPr>
        <w:pStyle w:val="KeinLeerraum"/>
        <w:rPr>
          <w:rFonts w:ascii="Verdana" w:hAnsi="Verdana"/>
          <w:sz w:val="20"/>
          <w:szCs w:val="20"/>
        </w:rPr>
      </w:pPr>
      <w:r w:rsidRPr="009D7171">
        <w:rPr>
          <w:rFonts w:ascii="Verdana" w:hAnsi="Verdana"/>
          <w:sz w:val="20"/>
          <w:szCs w:val="20"/>
        </w:rPr>
        <w:t>1944 „</w:t>
      </w:r>
      <w:proofErr w:type="spellStart"/>
      <w:r w:rsidRPr="009D7171">
        <w:rPr>
          <w:rFonts w:ascii="Verdana" w:hAnsi="Verdana"/>
          <w:sz w:val="20"/>
          <w:szCs w:val="20"/>
        </w:rPr>
        <w:t>Liquidity</w:t>
      </w:r>
      <w:proofErr w:type="spellEnd"/>
      <w:r w:rsidRPr="009D7171">
        <w:rPr>
          <w:rFonts w:ascii="Verdana" w:hAnsi="Verdana"/>
          <w:sz w:val="20"/>
          <w:szCs w:val="20"/>
        </w:rPr>
        <w:t xml:space="preserve"> Preference </w:t>
      </w:r>
      <w:proofErr w:type="spellStart"/>
      <w:r w:rsidRPr="009D7171">
        <w:rPr>
          <w:rFonts w:ascii="Verdana" w:hAnsi="Verdana"/>
          <w:sz w:val="20"/>
          <w:szCs w:val="20"/>
        </w:rPr>
        <w:t>and</w:t>
      </w:r>
      <w:proofErr w:type="spellEnd"/>
      <w:r w:rsidRPr="009D7171">
        <w:rPr>
          <w:rFonts w:ascii="Verdana" w:hAnsi="Verdana"/>
          <w:sz w:val="20"/>
          <w:szCs w:val="20"/>
        </w:rPr>
        <w:t xml:space="preserve"> </w:t>
      </w:r>
      <w:proofErr w:type="spellStart"/>
      <w:r w:rsidRPr="009D7171">
        <w:rPr>
          <w:rFonts w:ascii="Verdana" w:hAnsi="Verdana"/>
          <w:sz w:val="20"/>
          <w:szCs w:val="20"/>
        </w:rPr>
        <w:t>the</w:t>
      </w:r>
      <w:proofErr w:type="spellEnd"/>
      <w:r w:rsidRPr="009D7171">
        <w:rPr>
          <w:rFonts w:ascii="Verdana" w:hAnsi="Verdana"/>
          <w:sz w:val="20"/>
          <w:szCs w:val="20"/>
        </w:rPr>
        <w:t xml:space="preserve"> </w:t>
      </w:r>
      <w:proofErr w:type="spellStart"/>
      <w:r w:rsidRPr="009D7171">
        <w:rPr>
          <w:rFonts w:ascii="Verdana" w:hAnsi="Verdana"/>
          <w:sz w:val="20"/>
          <w:szCs w:val="20"/>
        </w:rPr>
        <w:t>Theory</w:t>
      </w:r>
      <w:proofErr w:type="spellEnd"/>
      <w:r w:rsidRPr="009D7171">
        <w:rPr>
          <w:rFonts w:ascii="Verdana" w:hAnsi="Verdana"/>
          <w:sz w:val="20"/>
          <w:szCs w:val="20"/>
        </w:rPr>
        <w:t xml:space="preserve"> </w:t>
      </w:r>
      <w:proofErr w:type="spellStart"/>
      <w:r w:rsidRPr="009D7171">
        <w:rPr>
          <w:rFonts w:ascii="Verdana" w:hAnsi="Verdana"/>
          <w:sz w:val="20"/>
          <w:szCs w:val="20"/>
        </w:rPr>
        <w:t>of</w:t>
      </w:r>
      <w:proofErr w:type="spellEnd"/>
      <w:r w:rsidRPr="009D7171">
        <w:rPr>
          <w:rFonts w:ascii="Verdana" w:hAnsi="Verdana"/>
          <w:sz w:val="20"/>
          <w:szCs w:val="20"/>
        </w:rPr>
        <w:t xml:space="preserve"> Interest </w:t>
      </w:r>
      <w:proofErr w:type="spellStart"/>
      <w:r w:rsidRPr="009D7171">
        <w:rPr>
          <w:rFonts w:ascii="Verdana" w:hAnsi="Verdana"/>
          <w:sz w:val="20"/>
          <w:szCs w:val="20"/>
        </w:rPr>
        <w:t>and</w:t>
      </w:r>
      <w:proofErr w:type="spellEnd"/>
      <w:r w:rsidRPr="009D7171">
        <w:rPr>
          <w:rFonts w:ascii="Verdana" w:hAnsi="Verdana"/>
          <w:sz w:val="20"/>
          <w:szCs w:val="20"/>
        </w:rPr>
        <w:t xml:space="preserve"> Money“ </w:t>
      </w:r>
    </w:p>
    <w:p w:rsidR="009D7171" w:rsidRPr="009D7171" w:rsidRDefault="009D7171" w:rsidP="009D7171">
      <w:pPr>
        <w:pStyle w:val="KeinLeerraum"/>
        <w:rPr>
          <w:rFonts w:ascii="Verdana" w:hAnsi="Verdana"/>
          <w:sz w:val="20"/>
          <w:szCs w:val="20"/>
        </w:rPr>
      </w:pPr>
      <w:r w:rsidRPr="009D7171">
        <w:rPr>
          <w:rFonts w:ascii="Verdana" w:hAnsi="Verdana"/>
          <w:sz w:val="20"/>
          <w:szCs w:val="20"/>
        </w:rPr>
        <w:t xml:space="preserve">1953/54 Lebenszyklushypothese: Sparen zur Verstetigung des lebenslangen Konsumniveaus (statt wie bei Keynes Konsum nach laufendem Einkommen) </w:t>
      </w:r>
    </w:p>
    <w:p w:rsidR="009D7171" w:rsidRPr="009D7171" w:rsidRDefault="009D7171" w:rsidP="009D7171">
      <w:pPr>
        <w:pStyle w:val="KeinLeerraum"/>
        <w:rPr>
          <w:rFonts w:ascii="Verdana" w:hAnsi="Verdana"/>
          <w:sz w:val="20"/>
          <w:szCs w:val="20"/>
        </w:rPr>
      </w:pPr>
      <w:r w:rsidRPr="009D7171">
        <w:rPr>
          <w:rFonts w:ascii="Verdana" w:hAnsi="Verdana"/>
          <w:sz w:val="20"/>
          <w:szCs w:val="20"/>
        </w:rPr>
        <w:t xml:space="preserve">1958 Modigliani-Miller-Theorem (Unternehmensfinanzierung) </w:t>
      </w:r>
    </w:p>
    <w:p w:rsidR="009D7171" w:rsidRDefault="009D7171" w:rsidP="009D7171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1985 Nobelpreis für LZH und MMT.</w:t>
      </w:r>
    </w:p>
    <w:p w:rsidR="009D7171" w:rsidRDefault="009D7171" w:rsidP="009D7171">
      <w:pPr>
        <w:pStyle w:val="KeinLeerraum"/>
        <w:rPr>
          <w:rFonts w:ascii="Verdana" w:hAnsi="Verdana"/>
          <w:sz w:val="20"/>
          <w:szCs w:val="20"/>
        </w:rPr>
      </w:pPr>
    </w:p>
    <w:p w:rsidR="009D7171" w:rsidRPr="009D7171" w:rsidRDefault="009D7171" w:rsidP="009D7171">
      <w:pPr>
        <w:pStyle w:val="KeinLeerraum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Das Problem der Lohnsenkungen</w:t>
      </w:r>
      <w:r w:rsidRPr="009D7171">
        <w:rPr>
          <w:rFonts w:ascii="Verdana" w:hAnsi="Verdana"/>
          <w:sz w:val="20"/>
          <w:szCs w:val="20"/>
        </w:rPr>
        <w:t>.</w:t>
      </w:r>
    </w:p>
    <w:p w:rsidR="009D7171" w:rsidRPr="009D7171" w:rsidRDefault="009D7171" w:rsidP="009D7171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I</w:t>
      </w:r>
      <w:r w:rsidRPr="009D7171">
        <w:rPr>
          <w:rFonts w:ascii="Verdana" w:hAnsi="Verdana"/>
          <w:sz w:val="20"/>
          <w:szCs w:val="20"/>
        </w:rPr>
        <w:t xml:space="preserve">n Krisen werden Löhne in aller Regel nicht gleich angepasst: Widerstand der Arbeitnehmerschaft – also nur Entlassungen möglich </w:t>
      </w:r>
    </w:p>
    <w:p w:rsidR="009D7171" w:rsidRDefault="009D7171" w:rsidP="009D7171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Pr="009D7171">
        <w:rPr>
          <w:rFonts w:ascii="Verdana" w:hAnsi="Verdana"/>
          <w:sz w:val="20"/>
          <w:szCs w:val="20"/>
        </w:rPr>
        <w:t xml:space="preserve">Keynes (Kap. 19): selbst wenn man die Nominallöhne sofort anpasst, gibt es zahlreiche, positive wie negative Effekte </w:t>
      </w:r>
      <w:r>
        <w:rPr>
          <w:rFonts w:ascii="Verdana" w:hAnsi="Verdana"/>
          <w:sz w:val="20"/>
          <w:szCs w:val="20"/>
        </w:rPr>
        <w:t>auf die Güternachfrage – z.B.:</w:t>
      </w:r>
    </w:p>
    <w:p w:rsidR="009D7171" w:rsidRPr="009D7171" w:rsidRDefault="009D7171" w:rsidP="009D7171">
      <w:pPr>
        <w:pStyle w:val="KeinLeerraum"/>
        <w:rPr>
          <w:rFonts w:ascii="Verdana" w:hAnsi="Verdana"/>
          <w:sz w:val="20"/>
          <w:szCs w:val="20"/>
        </w:rPr>
      </w:pPr>
      <w:r w:rsidRPr="009D7171">
        <w:rPr>
          <w:rFonts w:ascii="Verdana" w:hAnsi="Verdana"/>
          <w:sz w:val="20"/>
          <w:szCs w:val="20"/>
        </w:rPr>
        <w:sym w:font="Wingdings" w:char="F0E0"/>
      </w:r>
      <w:r w:rsidRPr="009D7171">
        <w:rPr>
          <w:rFonts w:ascii="Verdana" w:hAnsi="Verdana"/>
          <w:sz w:val="20"/>
          <w:szCs w:val="20"/>
        </w:rPr>
        <w:t xml:space="preserve">sinkende Löhne senken Kassenhaltungsbedürfnis und damit </w:t>
      </w:r>
      <w:r w:rsidRPr="009D7171">
        <w:rPr>
          <w:rFonts w:ascii="Verdana" w:hAnsi="Verdana"/>
          <w:i/>
          <w:iCs/>
          <w:sz w:val="20"/>
          <w:szCs w:val="20"/>
        </w:rPr>
        <w:t xml:space="preserve">ceteris paribus </w:t>
      </w:r>
      <w:r w:rsidRPr="009D7171">
        <w:rPr>
          <w:rFonts w:ascii="Verdana" w:hAnsi="Verdana"/>
          <w:sz w:val="20"/>
          <w:szCs w:val="20"/>
        </w:rPr>
        <w:t xml:space="preserve">den Zins, regen Investitionen an: ‚Keynes-Effekt‘ (+) – aber zunächst auch die Kreditnachfrage selbst, damit die Geldschöpfung durch Kredit, d.h. Geldmenge sinkt, das wirkt der Zinssenkung entgegen (-) </w:t>
      </w:r>
    </w:p>
    <w:p w:rsidR="009D7171" w:rsidRPr="009D7171" w:rsidRDefault="009D7171" w:rsidP="009D7171">
      <w:pPr>
        <w:pStyle w:val="KeinLeerraum"/>
        <w:rPr>
          <w:rFonts w:ascii="Verdana" w:hAnsi="Verdana"/>
          <w:sz w:val="20"/>
          <w:szCs w:val="20"/>
        </w:rPr>
      </w:pPr>
      <w:r w:rsidRPr="009D7171">
        <w:rPr>
          <w:rFonts w:ascii="Verdana" w:hAnsi="Verdana"/>
          <w:sz w:val="20"/>
          <w:szCs w:val="20"/>
        </w:rPr>
        <w:sym w:font="Wingdings" w:char="F0E0"/>
      </w:r>
      <w:r w:rsidRPr="009D7171">
        <w:rPr>
          <w:rFonts w:ascii="Verdana" w:hAnsi="Verdana"/>
          <w:sz w:val="20"/>
          <w:szCs w:val="20"/>
        </w:rPr>
        <w:t>sinkendes Preisniveau erhöht reale Schulden (-), aber [</w:t>
      </w:r>
      <w:r w:rsidRPr="009D7171">
        <w:rPr>
          <w:rFonts w:ascii="Verdana" w:hAnsi="Verdana"/>
          <w:i/>
          <w:iCs/>
          <w:sz w:val="20"/>
          <w:szCs w:val="20"/>
        </w:rPr>
        <w:t>und Keynes vergisst das aufzuzählen…</w:t>
      </w:r>
      <w:r w:rsidRPr="009D7171">
        <w:rPr>
          <w:rFonts w:ascii="Verdana" w:hAnsi="Verdana"/>
          <w:sz w:val="20"/>
          <w:szCs w:val="20"/>
        </w:rPr>
        <w:t>] auch die Vermög</w:t>
      </w:r>
      <w:r>
        <w:rPr>
          <w:rFonts w:ascii="Verdana" w:hAnsi="Verdana"/>
          <w:sz w:val="20"/>
          <w:szCs w:val="20"/>
        </w:rPr>
        <w:t>en: ‚</w:t>
      </w:r>
      <w:proofErr w:type="spellStart"/>
      <w:r>
        <w:rPr>
          <w:rFonts w:ascii="Verdana" w:hAnsi="Verdana"/>
          <w:sz w:val="20"/>
          <w:szCs w:val="20"/>
        </w:rPr>
        <w:t>Pigou</w:t>
      </w:r>
      <w:proofErr w:type="spellEnd"/>
      <w:r>
        <w:rPr>
          <w:rFonts w:ascii="Verdana" w:hAnsi="Verdana"/>
          <w:sz w:val="20"/>
          <w:szCs w:val="20"/>
        </w:rPr>
        <w:t xml:space="preserve">-Effekt‘ (+) </w:t>
      </w:r>
    </w:p>
    <w:p w:rsidR="009D7171" w:rsidRDefault="009D7171" w:rsidP="009D7171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Pr="009D7171">
        <w:rPr>
          <w:rFonts w:ascii="Verdana" w:hAnsi="Verdana"/>
          <w:b/>
          <w:sz w:val="20"/>
          <w:szCs w:val="20"/>
        </w:rPr>
        <w:t>Effekte im Saldo unklar</w:t>
      </w:r>
      <w:r w:rsidRPr="009D7171">
        <w:rPr>
          <w:rFonts w:ascii="Verdana" w:hAnsi="Verdana"/>
          <w:sz w:val="20"/>
          <w:szCs w:val="20"/>
        </w:rPr>
        <w:t xml:space="preserve"> (und es gibt keine empirisch studierbaren Fälle!), jedenfalls nicht zwingend höhere Arbeit</w:t>
      </w:r>
      <w:r>
        <w:rPr>
          <w:rFonts w:ascii="Verdana" w:hAnsi="Verdana"/>
          <w:sz w:val="20"/>
          <w:szCs w:val="20"/>
        </w:rPr>
        <w:t>snachfrage bei sinkendem Lohn!</w:t>
      </w:r>
    </w:p>
    <w:p w:rsidR="009D7171" w:rsidRDefault="009D7171" w:rsidP="009D7171">
      <w:pPr>
        <w:pStyle w:val="KeinLeerraum"/>
        <w:rPr>
          <w:rFonts w:ascii="Verdana" w:hAnsi="Verdana"/>
          <w:sz w:val="20"/>
          <w:szCs w:val="20"/>
        </w:rPr>
      </w:pPr>
    </w:p>
    <w:p w:rsidR="009D7171" w:rsidRDefault="009D7171" w:rsidP="009D7171">
      <w:pPr>
        <w:pStyle w:val="KeinLeerraum"/>
        <w:rPr>
          <w:rFonts w:ascii="Verdana" w:hAnsi="Verdana"/>
          <w:sz w:val="20"/>
          <w:szCs w:val="20"/>
        </w:rPr>
      </w:pPr>
    </w:p>
    <w:p w:rsidR="009D7171" w:rsidRPr="009D7171" w:rsidRDefault="009D7171" w:rsidP="009D7171">
      <w:pPr>
        <w:pStyle w:val="KeinLeerraum"/>
        <w:rPr>
          <w:rFonts w:ascii="Verdana" w:hAnsi="Verdana"/>
          <w:b/>
          <w:sz w:val="20"/>
          <w:szCs w:val="20"/>
        </w:rPr>
      </w:pPr>
      <w:r w:rsidRPr="009D7171">
        <w:rPr>
          <w:rFonts w:ascii="Verdana" w:hAnsi="Verdana"/>
          <w:b/>
          <w:sz w:val="20"/>
          <w:szCs w:val="20"/>
        </w:rPr>
        <w:t xml:space="preserve">Die Wiedereinführung des neoklassischen Arbeitsmarkts durch Modigliani </w:t>
      </w:r>
    </w:p>
    <w:p w:rsidR="009D7171" w:rsidRPr="009D7171" w:rsidRDefault="009D7171" w:rsidP="009D7171">
      <w:pPr>
        <w:pStyle w:val="KeinLeerraum"/>
        <w:rPr>
          <w:rFonts w:ascii="Verdana" w:hAnsi="Verdana"/>
          <w:sz w:val="20"/>
          <w:szCs w:val="20"/>
        </w:rPr>
      </w:pPr>
      <w:r w:rsidRPr="009D7171">
        <w:rPr>
          <w:rFonts w:ascii="Verdana" w:hAnsi="Verdana"/>
          <w:sz w:val="20"/>
          <w:szCs w:val="20"/>
        </w:rPr>
        <w:t>−</w:t>
      </w:r>
      <w:r>
        <w:rPr>
          <w:rFonts w:ascii="Verdana" w:hAnsi="Verdana"/>
          <w:sz w:val="20"/>
          <w:szCs w:val="20"/>
        </w:rPr>
        <w:t xml:space="preserve"> </w:t>
      </w:r>
      <w:r w:rsidRPr="009D7171">
        <w:rPr>
          <w:rFonts w:ascii="Verdana" w:hAnsi="Verdana"/>
          <w:sz w:val="20"/>
          <w:szCs w:val="20"/>
        </w:rPr>
        <w:t xml:space="preserve">Da der Arbeitsmarkt in der General </w:t>
      </w:r>
      <w:proofErr w:type="spellStart"/>
      <w:r w:rsidRPr="009D7171">
        <w:rPr>
          <w:rFonts w:ascii="Verdana" w:hAnsi="Verdana"/>
          <w:sz w:val="20"/>
          <w:szCs w:val="20"/>
        </w:rPr>
        <w:t>Theory</w:t>
      </w:r>
      <w:proofErr w:type="spellEnd"/>
      <w:r w:rsidRPr="009D7171">
        <w:rPr>
          <w:rFonts w:ascii="Verdana" w:hAnsi="Verdana"/>
          <w:sz w:val="20"/>
          <w:szCs w:val="20"/>
        </w:rPr>
        <w:t xml:space="preserve"> weit hinten und unvollständig behandelt ist, zählt er zu den ersten ‚Opfern‘ von Uminterpretationen: </w:t>
      </w:r>
    </w:p>
    <w:p w:rsidR="009D7171" w:rsidRPr="009D7171" w:rsidRDefault="009D7171" w:rsidP="009D7171">
      <w:pPr>
        <w:pStyle w:val="KeinLeerraum"/>
        <w:rPr>
          <w:rFonts w:ascii="Verdana" w:hAnsi="Verdana"/>
          <w:sz w:val="20"/>
          <w:szCs w:val="20"/>
        </w:rPr>
      </w:pPr>
      <w:r w:rsidRPr="009D7171">
        <w:rPr>
          <w:rFonts w:ascii="Verdana" w:hAnsi="Verdana"/>
          <w:sz w:val="20"/>
          <w:szCs w:val="20"/>
        </w:rPr>
        <w:t>−</w:t>
      </w:r>
      <w:r w:rsidR="0075549F">
        <w:rPr>
          <w:rFonts w:ascii="Verdana" w:hAnsi="Verdana"/>
          <w:sz w:val="20"/>
          <w:szCs w:val="20"/>
        </w:rPr>
        <w:t xml:space="preserve"> </w:t>
      </w:r>
      <w:r w:rsidRPr="009D7171">
        <w:rPr>
          <w:rFonts w:ascii="Verdana" w:hAnsi="Verdana"/>
          <w:sz w:val="20"/>
          <w:szCs w:val="20"/>
        </w:rPr>
        <w:t xml:space="preserve">Modigliani sieht nur Keynes- und </w:t>
      </w:r>
      <w:proofErr w:type="spellStart"/>
      <w:r w:rsidRPr="009D7171">
        <w:rPr>
          <w:rFonts w:ascii="Verdana" w:hAnsi="Verdana"/>
          <w:sz w:val="20"/>
          <w:szCs w:val="20"/>
        </w:rPr>
        <w:t>Pigou</w:t>
      </w:r>
      <w:proofErr w:type="spellEnd"/>
      <w:r w:rsidRPr="009D7171">
        <w:rPr>
          <w:rFonts w:ascii="Verdana" w:hAnsi="Verdana"/>
          <w:sz w:val="20"/>
          <w:szCs w:val="20"/>
        </w:rPr>
        <w:t>-Effekt, behauptet also positive Wirkung von Lohnsenkungen auf Nachfrage (</w:t>
      </w:r>
      <w:r w:rsidRPr="009D7171">
        <w:rPr>
          <w:rFonts w:ascii="Verdana" w:hAnsi="Verdana"/>
          <w:i/>
          <w:iCs/>
          <w:sz w:val="20"/>
          <w:szCs w:val="20"/>
        </w:rPr>
        <w:t xml:space="preserve">diese indirekten Realkassen-effekte wurden 1956 von Don </w:t>
      </w:r>
      <w:proofErr w:type="spellStart"/>
      <w:r w:rsidRPr="009D7171">
        <w:rPr>
          <w:rFonts w:ascii="Verdana" w:hAnsi="Verdana"/>
          <w:i/>
          <w:iCs/>
          <w:sz w:val="20"/>
          <w:szCs w:val="20"/>
        </w:rPr>
        <w:t>Patinkin</w:t>
      </w:r>
      <w:proofErr w:type="spellEnd"/>
      <w:r w:rsidRPr="009D7171">
        <w:rPr>
          <w:rFonts w:ascii="Verdana" w:hAnsi="Verdana"/>
          <w:i/>
          <w:iCs/>
          <w:sz w:val="20"/>
          <w:szCs w:val="20"/>
        </w:rPr>
        <w:t xml:space="preserve"> (1922–1995) durch direkten Effekt ergänzt/ersetzt: erhöhte Realkasse wird direkt in Ausgaben umgesetzt</w:t>
      </w:r>
      <w:r w:rsidRPr="009D7171">
        <w:rPr>
          <w:rFonts w:ascii="Verdana" w:hAnsi="Verdana"/>
          <w:sz w:val="20"/>
          <w:szCs w:val="20"/>
        </w:rPr>
        <w:t xml:space="preserve">) </w:t>
      </w:r>
    </w:p>
    <w:p w:rsidR="009D7171" w:rsidRPr="009D7171" w:rsidRDefault="009D7171" w:rsidP="009D7171">
      <w:pPr>
        <w:pStyle w:val="KeinLeerraum"/>
        <w:rPr>
          <w:rFonts w:ascii="Verdana" w:hAnsi="Verdana"/>
          <w:sz w:val="20"/>
          <w:szCs w:val="20"/>
        </w:rPr>
      </w:pPr>
      <w:r w:rsidRPr="009D7171">
        <w:rPr>
          <w:rFonts w:ascii="Verdana" w:hAnsi="Verdana"/>
          <w:sz w:val="20"/>
          <w:szCs w:val="20"/>
        </w:rPr>
        <w:t>−</w:t>
      </w:r>
      <w:r w:rsidR="0075549F">
        <w:rPr>
          <w:rFonts w:ascii="Verdana" w:hAnsi="Verdana"/>
          <w:sz w:val="20"/>
          <w:szCs w:val="20"/>
        </w:rPr>
        <w:t xml:space="preserve"> M</w:t>
      </w:r>
      <w:r w:rsidRPr="009D7171">
        <w:rPr>
          <w:rFonts w:ascii="Verdana" w:hAnsi="Verdana"/>
          <w:sz w:val="20"/>
          <w:szCs w:val="20"/>
        </w:rPr>
        <w:t xml:space="preserve">odigliani führt entsprechend einen neoklassischen Arbeitsmarkt in das Model ein: inflexible Löhne gibt es nur, wenn Arbeitnehmer Lohnsenkungen bekämpfen – und damit gilt Arbeitslosigkeit wieder als freiwillig </w:t>
      </w:r>
    </w:p>
    <w:p w:rsidR="0075549F" w:rsidRDefault="009D7171" w:rsidP="009D7171">
      <w:pPr>
        <w:pStyle w:val="KeinLeerraum"/>
        <w:rPr>
          <w:rFonts w:ascii="Verdana" w:hAnsi="Verdana"/>
          <w:sz w:val="20"/>
          <w:szCs w:val="20"/>
        </w:rPr>
      </w:pPr>
      <w:r w:rsidRPr="009D7171">
        <w:rPr>
          <w:rFonts w:ascii="Verdana" w:hAnsi="Verdana"/>
          <w:sz w:val="20"/>
          <w:szCs w:val="20"/>
        </w:rPr>
        <w:t>−</w:t>
      </w:r>
      <w:r w:rsidR="0075549F">
        <w:rPr>
          <w:rFonts w:ascii="Verdana" w:hAnsi="Verdana"/>
          <w:sz w:val="20"/>
          <w:szCs w:val="20"/>
        </w:rPr>
        <w:t xml:space="preserve"> N</w:t>
      </w:r>
      <w:r w:rsidRPr="009D7171">
        <w:rPr>
          <w:rFonts w:ascii="Verdana" w:hAnsi="Verdana"/>
          <w:sz w:val="20"/>
          <w:szCs w:val="20"/>
        </w:rPr>
        <w:t xml:space="preserve">iedrige Investitionen erscheinen nun nicht mehr als Ursache von Arbeits-losigkeit, sondern als deren Folge: bis ca. 1970 weitgehend unbemerkte (!) </w:t>
      </w:r>
      <w:r w:rsidRPr="0075549F">
        <w:rPr>
          <w:rFonts w:ascii="Verdana" w:hAnsi="Verdana"/>
          <w:sz w:val="20"/>
          <w:szCs w:val="20"/>
          <w:u w:val="single"/>
        </w:rPr>
        <w:t>Umkehrung der Logik von Keynes</w:t>
      </w:r>
      <w:r w:rsidRPr="009D7171">
        <w:rPr>
          <w:rFonts w:ascii="Verdana" w:hAnsi="Verdana"/>
          <w:sz w:val="20"/>
          <w:szCs w:val="20"/>
        </w:rPr>
        <w:t>.</w:t>
      </w:r>
    </w:p>
    <w:p w:rsidR="0075549F" w:rsidRDefault="0075549F" w:rsidP="009D7171">
      <w:pPr>
        <w:pStyle w:val="KeinLeerraum"/>
        <w:rPr>
          <w:rFonts w:ascii="Verdana" w:hAnsi="Verdana"/>
          <w:sz w:val="20"/>
          <w:szCs w:val="20"/>
        </w:rPr>
      </w:pPr>
    </w:p>
    <w:p w:rsidR="0075549F" w:rsidRDefault="0075549F" w:rsidP="0075549F">
      <w:pPr>
        <w:pStyle w:val="KeinLeerraum"/>
        <w:rPr>
          <w:rFonts w:ascii="Verdana" w:hAnsi="Verdana"/>
          <w:sz w:val="20"/>
          <w:szCs w:val="20"/>
        </w:rPr>
      </w:pPr>
    </w:p>
    <w:p w:rsidR="0075549F" w:rsidRPr="0075549F" w:rsidRDefault="0075549F" w:rsidP="0075549F">
      <w:pPr>
        <w:pStyle w:val="KeinLeerraum"/>
        <w:rPr>
          <w:rFonts w:ascii="Verdana" w:hAnsi="Verdana" w:cs="Calibri"/>
          <w:color w:val="000000"/>
          <w:sz w:val="20"/>
          <w:szCs w:val="20"/>
        </w:rPr>
      </w:pPr>
      <w:r w:rsidRPr="0075549F">
        <w:rPr>
          <w:rFonts w:ascii="Verdana" w:hAnsi="Verdana" w:cs="Calibri"/>
          <w:b/>
          <w:bCs/>
          <w:color w:val="000000"/>
          <w:sz w:val="20"/>
          <w:szCs w:val="20"/>
        </w:rPr>
        <w:lastRenderedPageBreak/>
        <w:t xml:space="preserve">Erweiterung des IS-LM-Modells durch Modigliani </w:t>
      </w:r>
    </w:p>
    <w:p w:rsidR="0075549F" w:rsidRPr="0075549F" w:rsidRDefault="0075549F" w:rsidP="0075549F">
      <w:pPr>
        <w:pStyle w:val="KeinLeerraum"/>
        <w:rPr>
          <w:rFonts w:ascii="Verdana" w:hAnsi="Verdana" w:cs="Calibri"/>
          <w:color w:val="000000"/>
          <w:sz w:val="20"/>
          <w:szCs w:val="20"/>
        </w:rPr>
      </w:pPr>
      <w:r w:rsidRPr="0075549F">
        <w:rPr>
          <w:rFonts w:ascii="Verdana" w:hAnsi="Verdana" w:cs="Calibri"/>
          <w:color w:val="000000"/>
          <w:sz w:val="20"/>
          <w:szCs w:val="20"/>
        </w:rPr>
        <w:t>−</w:t>
      </w:r>
      <w:r>
        <w:rPr>
          <w:rFonts w:ascii="Verdana" w:hAnsi="Verdana" w:cs="Calibri"/>
          <w:color w:val="000000"/>
          <w:sz w:val="20"/>
          <w:szCs w:val="20"/>
        </w:rPr>
        <w:t xml:space="preserve"> L</w:t>
      </w:r>
      <w:r w:rsidRPr="0075549F">
        <w:rPr>
          <w:rFonts w:ascii="Verdana" w:hAnsi="Verdana" w:cs="Calibri"/>
          <w:color w:val="000000"/>
          <w:sz w:val="20"/>
          <w:szCs w:val="20"/>
        </w:rPr>
        <w:t xml:space="preserve">iquiditätsfalle fällt als unrealistischer Sonderfall unter den Tisch </w:t>
      </w:r>
    </w:p>
    <w:p w:rsidR="0075549F" w:rsidRPr="0075549F" w:rsidRDefault="0075549F" w:rsidP="0075549F">
      <w:pPr>
        <w:pStyle w:val="KeinLeerraum"/>
        <w:rPr>
          <w:rFonts w:ascii="Verdana" w:hAnsi="Verdana" w:cs="Calibri"/>
          <w:color w:val="000000"/>
          <w:sz w:val="20"/>
          <w:szCs w:val="20"/>
        </w:rPr>
      </w:pPr>
      <w:r w:rsidRPr="0075549F">
        <w:rPr>
          <w:rFonts w:ascii="Verdana" w:hAnsi="Verdana" w:cs="Calibri"/>
          <w:color w:val="000000"/>
          <w:sz w:val="20"/>
          <w:szCs w:val="20"/>
        </w:rPr>
        <w:t>−</w:t>
      </w:r>
      <w:r>
        <w:rPr>
          <w:rFonts w:ascii="Verdana" w:hAnsi="Verdana" w:cs="Calibri"/>
          <w:color w:val="000000"/>
          <w:sz w:val="20"/>
          <w:szCs w:val="20"/>
        </w:rPr>
        <w:t xml:space="preserve"> D</w:t>
      </w:r>
      <w:r w:rsidRPr="0075549F">
        <w:rPr>
          <w:rFonts w:ascii="Verdana" w:hAnsi="Verdana" w:cs="Calibri"/>
          <w:color w:val="000000"/>
          <w:sz w:val="20"/>
          <w:szCs w:val="20"/>
        </w:rPr>
        <w:t>er bei Hicks ‚klassische‘ Bereich ist hier (richtiger) „</w:t>
      </w:r>
      <w:proofErr w:type="spellStart"/>
      <w:r w:rsidRPr="0075549F">
        <w:rPr>
          <w:rFonts w:ascii="Verdana" w:hAnsi="Verdana" w:cs="Calibri"/>
          <w:color w:val="000000"/>
          <w:sz w:val="20"/>
          <w:szCs w:val="20"/>
        </w:rPr>
        <w:t>keynesianisch</w:t>
      </w:r>
      <w:proofErr w:type="spellEnd"/>
      <w:r w:rsidRPr="0075549F">
        <w:rPr>
          <w:rFonts w:ascii="Verdana" w:hAnsi="Verdana" w:cs="Calibri"/>
          <w:color w:val="000000"/>
          <w:sz w:val="20"/>
          <w:szCs w:val="20"/>
        </w:rPr>
        <w:t xml:space="preserve">“; keine Vollbeschäftigung wegen Lohnrigidität, Geldpolitik wirkt </w:t>
      </w:r>
    </w:p>
    <w:p w:rsidR="0075549F" w:rsidRDefault="0075549F" w:rsidP="0075549F">
      <w:pPr>
        <w:pStyle w:val="KeinLeerraum"/>
        <w:rPr>
          <w:rFonts w:ascii="Verdana" w:hAnsi="Verdana" w:cs="Calibri"/>
          <w:color w:val="000000"/>
          <w:sz w:val="20"/>
          <w:szCs w:val="20"/>
        </w:rPr>
      </w:pPr>
      <w:r w:rsidRPr="0075549F">
        <w:rPr>
          <w:rFonts w:ascii="Verdana" w:hAnsi="Verdana" w:cs="Calibri"/>
          <w:color w:val="000000"/>
          <w:sz w:val="20"/>
          <w:szCs w:val="20"/>
        </w:rPr>
        <w:t>−</w:t>
      </w:r>
      <w:r>
        <w:rPr>
          <w:rFonts w:ascii="Verdana" w:hAnsi="Verdana" w:cs="Calibri"/>
          <w:color w:val="000000"/>
          <w:sz w:val="20"/>
          <w:szCs w:val="20"/>
        </w:rPr>
        <w:t xml:space="preserve"> r</w:t>
      </w:r>
      <w:r w:rsidRPr="0075549F">
        <w:rPr>
          <w:rFonts w:ascii="Verdana" w:hAnsi="Verdana" w:cs="Calibri"/>
          <w:color w:val="000000"/>
          <w:sz w:val="20"/>
          <w:szCs w:val="20"/>
        </w:rPr>
        <w:t xml:space="preserve">echts des (neuen!) IS-Knicks nun der ‚alte‘ neoklassische Fall: Vollbeschäftigung, Zins konstant und allein durch IS bestimmt =&gt; Geldmengenausweitung ändert den Zins nicht, nur das </w:t>
      </w:r>
      <w:r>
        <w:rPr>
          <w:rFonts w:ascii="Verdana" w:hAnsi="Verdana" w:cs="Calibri"/>
          <w:color w:val="000000"/>
          <w:sz w:val="20"/>
          <w:szCs w:val="20"/>
        </w:rPr>
        <w:t>Preisniveau (-&gt; ‚Geldschleier‘).</w:t>
      </w:r>
    </w:p>
    <w:p w:rsidR="0075549F" w:rsidRDefault="0075549F" w:rsidP="0075549F">
      <w:pPr>
        <w:pStyle w:val="KeinLeerraum"/>
        <w:rPr>
          <w:rFonts w:ascii="Verdana" w:hAnsi="Verdana" w:cs="Calibri"/>
          <w:color w:val="000000"/>
          <w:sz w:val="20"/>
          <w:szCs w:val="20"/>
        </w:rPr>
      </w:pPr>
    </w:p>
    <w:p w:rsidR="0075549F" w:rsidRPr="0075549F" w:rsidRDefault="0075549F" w:rsidP="0075549F">
      <w:pPr>
        <w:pStyle w:val="KeinLeerraum"/>
        <w:jc w:val="center"/>
        <w:rPr>
          <w:rFonts w:ascii="Verdana" w:hAnsi="Verdana" w:cs="Calibri"/>
          <w:color w:val="000000"/>
          <w:sz w:val="20"/>
          <w:szCs w:val="20"/>
        </w:rPr>
      </w:pPr>
      <w:r>
        <w:rPr>
          <w:rFonts w:ascii="Verdana" w:hAnsi="Verdana" w:cs="Calibri"/>
          <w:noProof/>
          <w:color w:val="000000"/>
          <w:sz w:val="20"/>
          <w:szCs w:val="20"/>
          <w:lang w:eastAsia="de-DE"/>
        </w:rPr>
        <w:drawing>
          <wp:inline distT="0" distB="0" distL="0" distR="0">
            <wp:extent cx="2625437" cy="2414195"/>
            <wp:effectExtent l="0" t="0" r="3810" b="571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526" cy="2433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49F" w:rsidRDefault="0075549F" w:rsidP="009D7171">
      <w:pPr>
        <w:pStyle w:val="KeinLeerraum"/>
        <w:rPr>
          <w:rFonts w:ascii="Verdana" w:hAnsi="Verdana"/>
          <w:sz w:val="20"/>
          <w:szCs w:val="20"/>
        </w:rPr>
      </w:pPr>
    </w:p>
    <w:p w:rsidR="0075549F" w:rsidRPr="0075549F" w:rsidRDefault="0075549F" w:rsidP="0075549F">
      <w:pPr>
        <w:pStyle w:val="KeinLeerraum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Paul A. Samuelson</w:t>
      </w:r>
      <w:r w:rsidRPr="0075549F"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b/>
          <w:sz w:val="20"/>
          <w:szCs w:val="20"/>
        </w:rPr>
        <w:t xml:space="preserve"> </w:t>
      </w:r>
      <w:r w:rsidRPr="0075549F">
        <w:rPr>
          <w:rFonts w:ascii="Verdana" w:hAnsi="Verdana"/>
          <w:sz w:val="20"/>
          <w:szCs w:val="20"/>
        </w:rPr>
        <w:t>1915</w:t>
      </w:r>
      <w:r>
        <w:rPr>
          <w:rFonts w:ascii="Verdana" w:hAnsi="Verdana"/>
          <w:sz w:val="20"/>
          <w:szCs w:val="20"/>
        </w:rPr>
        <w:t xml:space="preserve"> </w:t>
      </w:r>
      <w:r w:rsidRPr="0075549F">
        <w:rPr>
          <w:rFonts w:ascii="Verdana" w:hAnsi="Verdana"/>
          <w:sz w:val="20"/>
          <w:szCs w:val="20"/>
        </w:rPr>
        <w:t>—</w:t>
      </w:r>
      <w:r>
        <w:rPr>
          <w:rFonts w:ascii="Verdana" w:hAnsi="Verdana"/>
          <w:sz w:val="20"/>
          <w:szCs w:val="20"/>
        </w:rPr>
        <w:t xml:space="preserve"> 2009</w:t>
      </w:r>
      <w:r w:rsidRPr="0075549F">
        <w:rPr>
          <w:rFonts w:ascii="Verdana" w:hAnsi="Verdana"/>
          <w:sz w:val="20"/>
          <w:szCs w:val="20"/>
        </w:rPr>
        <w:t xml:space="preserve"> </w:t>
      </w:r>
    </w:p>
    <w:p w:rsidR="0075549F" w:rsidRPr="0075549F" w:rsidRDefault="0075549F" w:rsidP="0075549F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- 1</w:t>
      </w:r>
      <w:r w:rsidRPr="0075549F">
        <w:rPr>
          <w:rFonts w:ascii="Verdana" w:hAnsi="Verdana"/>
          <w:sz w:val="20"/>
          <w:szCs w:val="20"/>
        </w:rPr>
        <w:t>970 Nobelpreis (ab 1969 verliehen) “</w:t>
      </w:r>
      <w:proofErr w:type="spellStart"/>
      <w:r w:rsidRPr="0075549F">
        <w:rPr>
          <w:rFonts w:ascii="Verdana" w:hAnsi="Verdana"/>
          <w:sz w:val="20"/>
          <w:szCs w:val="20"/>
        </w:rPr>
        <w:t>for</w:t>
      </w:r>
      <w:proofErr w:type="spellEnd"/>
      <w:r w:rsidRPr="0075549F">
        <w:rPr>
          <w:rFonts w:ascii="Verdana" w:hAnsi="Verdana"/>
          <w:sz w:val="20"/>
          <w:szCs w:val="20"/>
        </w:rPr>
        <w:t xml:space="preserve"> </w:t>
      </w:r>
      <w:proofErr w:type="spellStart"/>
      <w:r w:rsidRPr="0075549F">
        <w:rPr>
          <w:rFonts w:ascii="Verdana" w:hAnsi="Verdana"/>
          <w:sz w:val="20"/>
          <w:szCs w:val="20"/>
        </w:rPr>
        <w:t>the</w:t>
      </w:r>
      <w:proofErr w:type="spellEnd"/>
      <w:r w:rsidRPr="0075549F">
        <w:rPr>
          <w:rFonts w:ascii="Verdana" w:hAnsi="Verdana"/>
          <w:sz w:val="20"/>
          <w:szCs w:val="20"/>
        </w:rPr>
        <w:t xml:space="preserve"> </w:t>
      </w:r>
      <w:proofErr w:type="spellStart"/>
      <w:r w:rsidRPr="0075549F">
        <w:rPr>
          <w:rFonts w:ascii="Verdana" w:hAnsi="Verdana"/>
          <w:sz w:val="20"/>
          <w:szCs w:val="20"/>
        </w:rPr>
        <w:t>scientific</w:t>
      </w:r>
      <w:proofErr w:type="spellEnd"/>
      <w:r w:rsidRPr="0075549F">
        <w:rPr>
          <w:rFonts w:ascii="Verdana" w:hAnsi="Verdana"/>
          <w:sz w:val="20"/>
          <w:szCs w:val="20"/>
        </w:rPr>
        <w:t xml:space="preserve"> </w:t>
      </w:r>
      <w:proofErr w:type="spellStart"/>
      <w:r w:rsidRPr="0075549F">
        <w:rPr>
          <w:rFonts w:ascii="Verdana" w:hAnsi="Verdana"/>
          <w:sz w:val="20"/>
          <w:szCs w:val="20"/>
        </w:rPr>
        <w:t>work</w:t>
      </w:r>
      <w:proofErr w:type="spellEnd"/>
      <w:r w:rsidRPr="0075549F">
        <w:rPr>
          <w:rFonts w:ascii="Verdana" w:hAnsi="Verdana"/>
          <w:sz w:val="20"/>
          <w:szCs w:val="20"/>
        </w:rPr>
        <w:t xml:space="preserve"> </w:t>
      </w:r>
      <w:proofErr w:type="spellStart"/>
      <w:r w:rsidRPr="0075549F">
        <w:rPr>
          <w:rFonts w:ascii="Verdana" w:hAnsi="Verdana"/>
          <w:sz w:val="20"/>
          <w:szCs w:val="20"/>
        </w:rPr>
        <w:t>through</w:t>
      </w:r>
      <w:proofErr w:type="spellEnd"/>
      <w:r w:rsidRPr="0075549F">
        <w:rPr>
          <w:rFonts w:ascii="Verdana" w:hAnsi="Verdana"/>
          <w:sz w:val="20"/>
          <w:szCs w:val="20"/>
        </w:rPr>
        <w:t xml:space="preserve"> </w:t>
      </w:r>
      <w:proofErr w:type="spellStart"/>
      <w:r w:rsidRPr="0075549F">
        <w:rPr>
          <w:rFonts w:ascii="Verdana" w:hAnsi="Verdana"/>
          <w:sz w:val="20"/>
          <w:szCs w:val="20"/>
        </w:rPr>
        <w:t>which</w:t>
      </w:r>
      <w:proofErr w:type="spellEnd"/>
      <w:r w:rsidRPr="0075549F">
        <w:rPr>
          <w:rFonts w:ascii="Verdana" w:hAnsi="Verdana"/>
          <w:sz w:val="20"/>
          <w:szCs w:val="20"/>
        </w:rPr>
        <w:t xml:space="preserve"> he </w:t>
      </w:r>
      <w:proofErr w:type="spellStart"/>
      <w:r w:rsidRPr="0075549F">
        <w:rPr>
          <w:rFonts w:ascii="Verdana" w:hAnsi="Verdana"/>
          <w:sz w:val="20"/>
          <w:szCs w:val="20"/>
        </w:rPr>
        <w:t>has</w:t>
      </w:r>
      <w:proofErr w:type="spellEnd"/>
      <w:r w:rsidRPr="0075549F">
        <w:rPr>
          <w:rFonts w:ascii="Verdana" w:hAnsi="Verdana"/>
          <w:sz w:val="20"/>
          <w:szCs w:val="20"/>
        </w:rPr>
        <w:t xml:space="preserve"> </w:t>
      </w:r>
      <w:proofErr w:type="spellStart"/>
      <w:r w:rsidRPr="0075549F">
        <w:rPr>
          <w:rFonts w:ascii="Verdana" w:hAnsi="Verdana"/>
          <w:sz w:val="20"/>
          <w:szCs w:val="20"/>
        </w:rPr>
        <w:t>developed</w:t>
      </w:r>
      <w:proofErr w:type="spellEnd"/>
      <w:r w:rsidRPr="0075549F">
        <w:rPr>
          <w:rFonts w:ascii="Verdana" w:hAnsi="Verdana"/>
          <w:sz w:val="20"/>
          <w:szCs w:val="20"/>
        </w:rPr>
        <w:t xml:space="preserve"> </w:t>
      </w:r>
      <w:proofErr w:type="spellStart"/>
      <w:r w:rsidRPr="0075549F">
        <w:rPr>
          <w:rFonts w:ascii="Verdana" w:hAnsi="Verdana"/>
          <w:sz w:val="20"/>
          <w:szCs w:val="20"/>
        </w:rPr>
        <w:t>static</w:t>
      </w:r>
      <w:proofErr w:type="spellEnd"/>
      <w:r w:rsidRPr="0075549F">
        <w:rPr>
          <w:rFonts w:ascii="Verdana" w:hAnsi="Verdana"/>
          <w:sz w:val="20"/>
          <w:szCs w:val="20"/>
        </w:rPr>
        <w:t xml:space="preserve"> </w:t>
      </w:r>
      <w:proofErr w:type="spellStart"/>
      <w:r w:rsidRPr="0075549F">
        <w:rPr>
          <w:rFonts w:ascii="Verdana" w:hAnsi="Verdana"/>
          <w:sz w:val="20"/>
          <w:szCs w:val="20"/>
        </w:rPr>
        <w:t>and</w:t>
      </w:r>
      <w:proofErr w:type="spellEnd"/>
      <w:r w:rsidRPr="0075549F">
        <w:rPr>
          <w:rFonts w:ascii="Verdana" w:hAnsi="Verdana"/>
          <w:sz w:val="20"/>
          <w:szCs w:val="20"/>
        </w:rPr>
        <w:t xml:space="preserve"> </w:t>
      </w:r>
      <w:proofErr w:type="spellStart"/>
      <w:r w:rsidRPr="0075549F">
        <w:rPr>
          <w:rFonts w:ascii="Verdana" w:hAnsi="Verdana"/>
          <w:sz w:val="20"/>
          <w:szCs w:val="20"/>
        </w:rPr>
        <w:t>dynamic</w:t>
      </w:r>
      <w:proofErr w:type="spellEnd"/>
      <w:r w:rsidRPr="0075549F">
        <w:rPr>
          <w:rFonts w:ascii="Verdana" w:hAnsi="Verdana"/>
          <w:sz w:val="20"/>
          <w:szCs w:val="20"/>
        </w:rPr>
        <w:t xml:space="preserve"> </w:t>
      </w:r>
      <w:proofErr w:type="spellStart"/>
      <w:r w:rsidRPr="0075549F">
        <w:rPr>
          <w:rFonts w:ascii="Verdana" w:hAnsi="Verdana"/>
          <w:sz w:val="20"/>
          <w:szCs w:val="20"/>
        </w:rPr>
        <w:t>economic</w:t>
      </w:r>
      <w:proofErr w:type="spellEnd"/>
      <w:r w:rsidRPr="0075549F">
        <w:rPr>
          <w:rFonts w:ascii="Verdana" w:hAnsi="Verdana"/>
          <w:sz w:val="20"/>
          <w:szCs w:val="20"/>
        </w:rPr>
        <w:t xml:space="preserve"> </w:t>
      </w:r>
      <w:proofErr w:type="spellStart"/>
      <w:r w:rsidRPr="0075549F">
        <w:rPr>
          <w:rFonts w:ascii="Verdana" w:hAnsi="Verdana"/>
          <w:sz w:val="20"/>
          <w:szCs w:val="20"/>
        </w:rPr>
        <w:t>theory</w:t>
      </w:r>
      <w:proofErr w:type="spellEnd"/>
      <w:r w:rsidRPr="0075549F">
        <w:rPr>
          <w:rFonts w:ascii="Verdana" w:hAnsi="Verdana"/>
          <w:sz w:val="20"/>
          <w:szCs w:val="20"/>
        </w:rPr>
        <w:t xml:space="preserve"> </w:t>
      </w:r>
      <w:proofErr w:type="spellStart"/>
      <w:r w:rsidRPr="0075549F">
        <w:rPr>
          <w:rFonts w:ascii="Verdana" w:hAnsi="Verdana"/>
          <w:sz w:val="20"/>
          <w:szCs w:val="20"/>
        </w:rPr>
        <w:t>and</w:t>
      </w:r>
      <w:proofErr w:type="spellEnd"/>
      <w:r w:rsidRPr="0075549F">
        <w:rPr>
          <w:rFonts w:ascii="Verdana" w:hAnsi="Verdana"/>
          <w:sz w:val="20"/>
          <w:szCs w:val="20"/>
        </w:rPr>
        <w:t xml:space="preserve"> </w:t>
      </w:r>
      <w:proofErr w:type="spellStart"/>
      <w:r w:rsidRPr="0075549F">
        <w:rPr>
          <w:rFonts w:ascii="Verdana" w:hAnsi="Verdana"/>
          <w:sz w:val="20"/>
          <w:szCs w:val="20"/>
        </w:rPr>
        <w:t>actively</w:t>
      </w:r>
      <w:proofErr w:type="spellEnd"/>
      <w:r w:rsidRPr="0075549F">
        <w:rPr>
          <w:rFonts w:ascii="Verdana" w:hAnsi="Verdana"/>
          <w:sz w:val="20"/>
          <w:szCs w:val="20"/>
        </w:rPr>
        <w:t xml:space="preserve"> </w:t>
      </w:r>
      <w:proofErr w:type="spellStart"/>
      <w:r w:rsidRPr="0075549F">
        <w:rPr>
          <w:rFonts w:ascii="Verdana" w:hAnsi="Verdana"/>
          <w:sz w:val="20"/>
          <w:szCs w:val="20"/>
        </w:rPr>
        <w:t>contributed</w:t>
      </w:r>
      <w:proofErr w:type="spellEnd"/>
      <w:r w:rsidRPr="0075549F">
        <w:rPr>
          <w:rFonts w:ascii="Verdana" w:hAnsi="Verdana"/>
          <w:sz w:val="20"/>
          <w:szCs w:val="20"/>
        </w:rPr>
        <w:t xml:space="preserve"> </w:t>
      </w:r>
      <w:proofErr w:type="spellStart"/>
      <w:r w:rsidRPr="0075549F">
        <w:rPr>
          <w:rFonts w:ascii="Verdana" w:hAnsi="Verdana"/>
          <w:sz w:val="20"/>
          <w:szCs w:val="20"/>
        </w:rPr>
        <w:t>to</w:t>
      </w:r>
      <w:proofErr w:type="spellEnd"/>
      <w:r w:rsidRPr="0075549F">
        <w:rPr>
          <w:rFonts w:ascii="Verdana" w:hAnsi="Verdana"/>
          <w:sz w:val="20"/>
          <w:szCs w:val="20"/>
        </w:rPr>
        <w:t xml:space="preserve"> </w:t>
      </w:r>
      <w:proofErr w:type="spellStart"/>
      <w:r w:rsidRPr="0075549F">
        <w:rPr>
          <w:rFonts w:ascii="Verdana" w:hAnsi="Verdana"/>
          <w:sz w:val="20"/>
          <w:szCs w:val="20"/>
        </w:rPr>
        <w:t>raising</w:t>
      </w:r>
      <w:proofErr w:type="spellEnd"/>
      <w:r w:rsidRPr="0075549F">
        <w:rPr>
          <w:rFonts w:ascii="Verdana" w:hAnsi="Verdana"/>
          <w:sz w:val="20"/>
          <w:szCs w:val="20"/>
        </w:rPr>
        <w:t xml:space="preserve"> </w:t>
      </w:r>
      <w:proofErr w:type="spellStart"/>
      <w:r w:rsidRPr="0075549F">
        <w:rPr>
          <w:rFonts w:ascii="Verdana" w:hAnsi="Verdana"/>
          <w:sz w:val="20"/>
          <w:szCs w:val="20"/>
        </w:rPr>
        <w:t>the</w:t>
      </w:r>
      <w:proofErr w:type="spellEnd"/>
      <w:r w:rsidRPr="0075549F">
        <w:rPr>
          <w:rFonts w:ascii="Verdana" w:hAnsi="Verdana"/>
          <w:sz w:val="20"/>
          <w:szCs w:val="20"/>
        </w:rPr>
        <w:t xml:space="preserve"> </w:t>
      </w:r>
      <w:proofErr w:type="spellStart"/>
      <w:r w:rsidRPr="0075549F">
        <w:rPr>
          <w:rFonts w:ascii="Verdana" w:hAnsi="Verdana"/>
          <w:sz w:val="20"/>
          <w:szCs w:val="20"/>
        </w:rPr>
        <w:t>level</w:t>
      </w:r>
      <w:proofErr w:type="spellEnd"/>
      <w:r w:rsidRPr="0075549F">
        <w:rPr>
          <w:rFonts w:ascii="Verdana" w:hAnsi="Verdana"/>
          <w:sz w:val="20"/>
          <w:szCs w:val="20"/>
        </w:rPr>
        <w:t xml:space="preserve"> </w:t>
      </w:r>
      <w:proofErr w:type="spellStart"/>
      <w:r w:rsidRPr="0075549F">
        <w:rPr>
          <w:rFonts w:ascii="Verdana" w:hAnsi="Verdana"/>
          <w:sz w:val="20"/>
          <w:szCs w:val="20"/>
        </w:rPr>
        <w:t>of</w:t>
      </w:r>
      <w:proofErr w:type="spellEnd"/>
      <w:r w:rsidRPr="0075549F">
        <w:rPr>
          <w:rFonts w:ascii="Verdana" w:hAnsi="Verdana"/>
          <w:sz w:val="20"/>
          <w:szCs w:val="20"/>
        </w:rPr>
        <w:t xml:space="preserve"> </w:t>
      </w:r>
      <w:proofErr w:type="spellStart"/>
      <w:r w:rsidRPr="0075549F">
        <w:rPr>
          <w:rFonts w:ascii="Verdana" w:hAnsi="Verdana"/>
          <w:sz w:val="20"/>
          <w:szCs w:val="20"/>
        </w:rPr>
        <w:t>analysis</w:t>
      </w:r>
      <w:proofErr w:type="spellEnd"/>
      <w:r w:rsidRPr="0075549F">
        <w:rPr>
          <w:rFonts w:ascii="Verdana" w:hAnsi="Verdana"/>
          <w:sz w:val="20"/>
          <w:szCs w:val="20"/>
        </w:rPr>
        <w:t xml:space="preserve"> in </w:t>
      </w:r>
      <w:proofErr w:type="spellStart"/>
      <w:r w:rsidRPr="0075549F">
        <w:rPr>
          <w:rFonts w:ascii="Verdana" w:hAnsi="Verdana"/>
          <w:sz w:val="20"/>
          <w:szCs w:val="20"/>
        </w:rPr>
        <w:t>economic</w:t>
      </w:r>
      <w:proofErr w:type="spellEnd"/>
      <w:r w:rsidRPr="0075549F">
        <w:rPr>
          <w:rFonts w:ascii="Verdana" w:hAnsi="Verdana"/>
          <w:sz w:val="20"/>
          <w:szCs w:val="20"/>
        </w:rPr>
        <w:t xml:space="preserve"> </w:t>
      </w:r>
      <w:proofErr w:type="spellStart"/>
      <w:r w:rsidRPr="0075549F">
        <w:rPr>
          <w:rFonts w:ascii="Verdana" w:hAnsi="Verdana"/>
          <w:sz w:val="20"/>
          <w:szCs w:val="20"/>
        </w:rPr>
        <w:t>science</w:t>
      </w:r>
      <w:proofErr w:type="spellEnd"/>
      <w:r w:rsidRPr="0075549F">
        <w:rPr>
          <w:rFonts w:ascii="Verdana" w:hAnsi="Verdana"/>
          <w:sz w:val="20"/>
          <w:szCs w:val="20"/>
        </w:rPr>
        <w:t xml:space="preserve">” </w:t>
      </w:r>
    </w:p>
    <w:p w:rsidR="0075549F" w:rsidRPr="0075549F" w:rsidRDefault="0075549F" w:rsidP="0075549F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Pr="0075549F">
        <w:rPr>
          <w:rFonts w:ascii="Verdana" w:hAnsi="Verdana"/>
          <w:sz w:val="20"/>
          <w:szCs w:val="20"/>
        </w:rPr>
        <w:t>Integrierte (Kern-)Denkstil und (Kern-)Denkkollektiv der VWL wie kein Zweiter: „</w:t>
      </w:r>
      <w:proofErr w:type="spellStart"/>
      <w:r w:rsidRPr="0075549F">
        <w:rPr>
          <w:rFonts w:ascii="Verdana" w:hAnsi="Verdana"/>
          <w:sz w:val="20"/>
          <w:szCs w:val="20"/>
        </w:rPr>
        <w:t>Founder</w:t>
      </w:r>
      <w:proofErr w:type="spellEnd"/>
      <w:r w:rsidRPr="0075549F">
        <w:rPr>
          <w:rFonts w:ascii="Verdana" w:hAnsi="Verdana"/>
          <w:sz w:val="20"/>
          <w:szCs w:val="20"/>
        </w:rPr>
        <w:t xml:space="preserve"> </w:t>
      </w:r>
      <w:proofErr w:type="spellStart"/>
      <w:r w:rsidRPr="0075549F">
        <w:rPr>
          <w:rFonts w:ascii="Verdana" w:hAnsi="Verdana"/>
          <w:sz w:val="20"/>
          <w:szCs w:val="20"/>
        </w:rPr>
        <w:t>of</w:t>
      </w:r>
      <w:proofErr w:type="spellEnd"/>
      <w:r w:rsidRPr="0075549F">
        <w:rPr>
          <w:rFonts w:ascii="Verdana" w:hAnsi="Verdana"/>
          <w:sz w:val="20"/>
          <w:szCs w:val="20"/>
        </w:rPr>
        <w:t xml:space="preserve"> Modern Economics“ -&gt; einflussreichster Ökonom des 20. Jh.! </w:t>
      </w:r>
    </w:p>
    <w:p w:rsidR="0075549F" w:rsidRPr="009D7171" w:rsidRDefault="0075549F" w:rsidP="009D7171">
      <w:pPr>
        <w:pStyle w:val="KeinLeerraum"/>
        <w:rPr>
          <w:rFonts w:ascii="Verdana" w:hAnsi="Verdana"/>
          <w:sz w:val="20"/>
          <w:szCs w:val="20"/>
        </w:rPr>
      </w:pPr>
    </w:p>
    <w:p w:rsidR="009D7171" w:rsidRDefault="009D7171" w:rsidP="00410706">
      <w:pPr>
        <w:pStyle w:val="KeinLeerraum"/>
        <w:rPr>
          <w:rFonts w:ascii="Verdana" w:hAnsi="Verdana"/>
          <w:sz w:val="20"/>
          <w:szCs w:val="20"/>
        </w:rPr>
      </w:pPr>
    </w:p>
    <w:p w:rsidR="0075549F" w:rsidRDefault="0075549F" w:rsidP="00410706">
      <w:pPr>
        <w:pStyle w:val="KeinLeerraum"/>
        <w:rPr>
          <w:rFonts w:ascii="Verdana" w:hAnsi="Verdana"/>
          <w:sz w:val="20"/>
          <w:szCs w:val="20"/>
        </w:rPr>
      </w:pPr>
    </w:p>
    <w:p w:rsidR="0075549F" w:rsidRPr="0075549F" w:rsidRDefault="0075549F" w:rsidP="0075549F">
      <w:pPr>
        <w:pStyle w:val="KeinLeerraum"/>
        <w:rPr>
          <w:rFonts w:ascii="Verdana" w:hAnsi="Verdana"/>
          <w:b/>
          <w:sz w:val="20"/>
          <w:szCs w:val="20"/>
        </w:rPr>
      </w:pPr>
      <w:proofErr w:type="spellStart"/>
      <w:r w:rsidRPr="0075549F">
        <w:rPr>
          <w:rFonts w:ascii="Verdana" w:hAnsi="Verdana"/>
          <w:b/>
          <w:sz w:val="20"/>
          <w:szCs w:val="20"/>
        </w:rPr>
        <w:t>Foundations</w:t>
      </w:r>
      <w:proofErr w:type="spellEnd"/>
      <w:r w:rsidRPr="0075549F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75549F">
        <w:rPr>
          <w:rFonts w:ascii="Verdana" w:hAnsi="Verdana"/>
          <w:b/>
          <w:sz w:val="20"/>
          <w:szCs w:val="20"/>
        </w:rPr>
        <w:t>of</w:t>
      </w:r>
      <w:proofErr w:type="spellEnd"/>
      <w:r w:rsidRPr="0075549F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75549F">
        <w:rPr>
          <w:rFonts w:ascii="Verdana" w:hAnsi="Verdana"/>
          <w:b/>
          <w:sz w:val="20"/>
          <w:szCs w:val="20"/>
        </w:rPr>
        <w:t>Economic</w:t>
      </w:r>
      <w:proofErr w:type="spellEnd"/>
      <w:r w:rsidRPr="0075549F">
        <w:rPr>
          <w:rFonts w:ascii="Verdana" w:hAnsi="Verdana"/>
          <w:b/>
          <w:sz w:val="20"/>
          <w:szCs w:val="20"/>
        </w:rPr>
        <w:t xml:space="preserve"> Analysis (1947) </w:t>
      </w:r>
    </w:p>
    <w:p w:rsidR="0075549F" w:rsidRDefault="0075549F" w:rsidP="0075549F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M</w:t>
      </w:r>
      <w:r w:rsidRPr="0075549F">
        <w:rPr>
          <w:rFonts w:ascii="Verdana" w:hAnsi="Verdana"/>
          <w:sz w:val="20"/>
          <w:szCs w:val="20"/>
        </w:rPr>
        <w:t xml:space="preserve">ethodologisches Grundsatzwerk: Mathematisierung, Gleichgewichts- als Extremwertprobleme, Operationalisierbarkeit, Suche nach einer Allgemeinen Theorie -&gt; </w:t>
      </w:r>
      <w:r w:rsidRPr="0075549F">
        <w:rPr>
          <w:rFonts w:ascii="Verdana" w:hAnsi="Verdana"/>
          <w:sz w:val="20"/>
          <w:szCs w:val="20"/>
          <w:u w:val="single"/>
        </w:rPr>
        <w:t>prägte einheitliche Arbeitsweise in der VWL</w:t>
      </w:r>
    </w:p>
    <w:p w:rsidR="0075549F" w:rsidRPr="0075549F" w:rsidRDefault="0075549F" w:rsidP="0075549F">
      <w:pPr>
        <w:pStyle w:val="KeinLeerraum"/>
        <w:rPr>
          <w:rFonts w:ascii="Verdana" w:hAnsi="Verdana"/>
          <w:b/>
          <w:sz w:val="20"/>
          <w:szCs w:val="20"/>
        </w:rPr>
      </w:pPr>
      <w:r w:rsidRPr="0075549F">
        <w:rPr>
          <w:rFonts w:ascii="Verdana" w:hAnsi="Verdana"/>
          <w:b/>
          <w:sz w:val="20"/>
          <w:szCs w:val="20"/>
        </w:rPr>
        <w:t xml:space="preserve">Economics (1948) </w:t>
      </w:r>
    </w:p>
    <w:p w:rsidR="0075549F" w:rsidRPr="0075549F" w:rsidRDefault="0075549F" w:rsidP="0075549F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P</w:t>
      </w:r>
      <w:r w:rsidRPr="0075549F">
        <w:rPr>
          <w:rFonts w:ascii="Verdana" w:hAnsi="Verdana"/>
          <w:sz w:val="20"/>
          <w:szCs w:val="20"/>
        </w:rPr>
        <w:t xml:space="preserve">rägte Begriff „Neoklassische Synthese“ – im Hinblick auf Modiglianis Modell </w:t>
      </w:r>
    </w:p>
    <w:p w:rsidR="0075549F" w:rsidRPr="0075549F" w:rsidRDefault="0075549F" w:rsidP="0075549F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Pr="0075549F">
        <w:rPr>
          <w:rFonts w:ascii="Verdana" w:hAnsi="Verdana"/>
          <w:sz w:val="20"/>
          <w:szCs w:val="20"/>
        </w:rPr>
        <w:t>Standardlehrbuch des Fachs bis Ende des 20. Jh.; über vier Millionen Exemplare in 42 Sprachen -&gt; Kanonisierung („</w:t>
      </w:r>
      <w:proofErr w:type="spellStart"/>
      <w:r w:rsidRPr="0075549F">
        <w:rPr>
          <w:rFonts w:ascii="Verdana" w:hAnsi="Verdana"/>
          <w:sz w:val="20"/>
          <w:szCs w:val="20"/>
        </w:rPr>
        <w:t>mainstream</w:t>
      </w:r>
      <w:proofErr w:type="spellEnd"/>
      <w:r w:rsidRPr="0075549F">
        <w:rPr>
          <w:rFonts w:ascii="Verdana" w:hAnsi="Verdana"/>
          <w:sz w:val="20"/>
          <w:szCs w:val="20"/>
        </w:rPr>
        <w:t xml:space="preserve"> </w:t>
      </w:r>
      <w:proofErr w:type="spellStart"/>
      <w:r w:rsidRPr="0075549F">
        <w:rPr>
          <w:rFonts w:ascii="Verdana" w:hAnsi="Verdana"/>
          <w:sz w:val="20"/>
          <w:szCs w:val="20"/>
        </w:rPr>
        <w:t>economics</w:t>
      </w:r>
      <w:proofErr w:type="spellEnd"/>
      <w:r w:rsidRPr="0075549F">
        <w:rPr>
          <w:rFonts w:ascii="Verdana" w:hAnsi="Verdana"/>
          <w:sz w:val="20"/>
          <w:szCs w:val="20"/>
        </w:rPr>
        <w:t xml:space="preserve">“) </w:t>
      </w:r>
    </w:p>
    <w:p w:rsidR="0075549F" w:rsidRDefault="0075549F" w:rsidP="0075549F">
      <w:pPr>
        <w:pStyle w:val="KeinLeerraum"/>
        <w:rPr>
          <w:rFonts w:ascii="Arial" w:hAnsi="Arial" w:cs="Arial"/>
        </w:rPr>
      </w:pPr>
      <w:r>
        <w:rPr>
          <w:rFonts w:ascii="Verdana" w:hAnsi="Verdana"/>
          <w:sz w:val="20"/>
          <w:szCs w:val="20"/>
        </w:rPr>
        <w:t xml:space="preserve">- </w:t>
      </w:r>
      <w:r w:rsidRPr="0075549F">
        <w:rPr>
          <w:rFonts w:ascii="Verdana" w:hAnsi="Verdana"/>
          <w:sz w:val="20"/>
          <w:szCs w:val="20"/>
        </w:rPr>
        <w:t xml:space="preserve">Erfolgreicher Keynesianismus stellt neoklassischen Rahmen wieder her: </w:t>
      </w:r>
      <w:r w:rsidRPr="0075549F">
        <w:rPr>
          <w:rFonts w:ascii="Arial" w:hAnsi="Arial" w:cs="Arial"/>
        </w:rPr>
        <w:t xml:space="preserve">„Bei richtigem Einsatz der Währungs- und Fiskalpolitik sind die Völker heutzutage in der Lage, die Schrecken von Massenarbeitslosigkeit und Inflation zu bannen. [… Dann] steht dem modernen Volkswirt eine „neoklassische Synthese“ zur Verfügung. Sie beruht auf einer Kombination der Grundsätze der modernen Theorie der Bestimmung des Volkseinkommens mit den klassischen Wahrheiten. […] Die alten klassischen Wahrheiten kommen wieder zur Geltung […].“ </w:t>
      </w:r>
      <w:r>
        <w:rPr>
          <w:rFonts w:ascii="Arial" w:hAnsi="Arial" w:cs="Arial"/>
        </w:rPr>
        <w:t>(aus der 3. dt. Aufl. 1967)</w:t>
      </w:r>
    </w:p>
    <w:p w:rsidR="0075549F" w:rsidRDefault="0075549F" w:rsidP="0075549F">
      <w:pPr>
        <w:pStyle w:val="KeinLeerraum"/>
        <w:rPr>
          <w:rFonts w:ascii="Arial" w:hAnsi="Arial" w:cs="Arial"/>
        </w:rPr>
      </w:pPr>
    </w:p>
    <w:p w:rsidR="0075549F" w:rsidRPr="0075549F" w:rsidRDefault="0075549F" w:rsidP="0075549F">
      <w:pPr>
        <w:pStyle w:val="KeinLeerraum"/>
        <w:rPr>
          <w:rFonts w:ascii="Verdana" w:hAnsi="Verdana"/>
          <w:b/>
          <w:sz w:val="20"/>
          <w:szCs w:val="20"/>
        </w:rPr>
      </w:pPr>
      <w:r w:rsidRPr="0075549F">
        <w:rPr>
          <w:rFonts w:ascii="Verdana" w:hAnsi="Verdana"/>
          <w:b/>
          <w:sz w:val="20"/>
          <w:szCs w:val="20"/>
        </w:rPr>
        <w:t xml:space="preserve">Cambridge gegen Cambridge </w:t>
      </w:r>
    </w:p>
    <w:p w:rsidR="0075549F" w:rsidRPr="0075549F" w:rsidRDefault="0075549F" w:rsidP="0075549F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N</w:t>
      </w:r>
      <w:r w:rsidRPr="0075549F">
        <w:rPr>
          <w:rFonts w:ascii="Verdana" w:hAnsi="Verdana"/>
          <w:sz w:val="20"/>
          <w:szCs w:val="20"/>
        </w:rPr>
        <w:t xml:space="preserve">eoklassische Synthese (von Keynesianismus und Neoklassik) erinnert an Marshalls Synthese von Klassik und </w:t>
      </w:r>
      <w:proofErr w:type="spellStart"/>
      <w:r w:rsidRPr="0075549F">
        <w:rPr>
          <w:rFonts w:ascii="Verdana" w:hAnsi="Verdana"/>
          <w:sz w:val="20"/>
          <w:szCs w:val="20"/>
        </w:rPr>
        <w:t>Marginalismus</w:t>
      </w:r>
      <w:proofErr w:type="spellEnd"/>
      <w:r w:rsidRPr="0075549F">
        <w:rPr>
          <w:rFonts w:ascii="Verdana" w:hAnsi="Verdana"/>
          <w:sz w:val="20"/>
          <w:szCs w:val="20"/>
        </w:rPr>
        <w:t xml:space="preserve"> (zur Neoklassik) -&gt; kontroverse wissenschaftstheoretische Dialektik! </w:t>
      </w:r>
    </w:p>
    <w:p w:rsidR="0075549F" w:rsidRDefault="0075549F" w:rsidP="0075549F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Pr="0075549F">
        <w:rPr>
          <w:rFonts w:ascii="Verdana" w:hAnsi="Verdana"/>
          <w:sz w:val="20"/>
          <w:szCs w:val="20"/>
        </w:rPr>
        <w:t>Widerstand der Anhänger der Antithese in Cambridge, England gegen Wortführer der Synthe</w:t>
      </w:r>
      <w:r>
        <w:rPr>
          <w:rFonts w:ascii="Verdana" w:hAnsi="Verdana"/>
          <w:sz w:val="20"/>
          <w:szCs w:val="20"/>
        </w:rPr>
        <w:t>se in Cambridge, Massachusetts:</w:t>
      </w:r>
    </w:p>
    <w:p w:rsidR="0075549F" w:rsidRPr="0075549F" w:rsidRDefault="0075549F" w:rsidP="0075549F">
      <w:pPr>
        <w:pStyle w:val="KeinLeerraum"/>
        <w:rPr>
          <w:rFonts w:ascii="Verdana" w:hAnsi="Verdana"/>
          <w:sz w:val="20"/>
          <w:szCs w:val="20"/>
        </w:rPr>
      </w:pPr>
      <w:r w:rsidRPr="0075549F">
        <w:rPr>
          <w:rFonts w:ascii="Verdana" w:hAnsi="Verdana"/>
          <w:sz w:val="20"/>
          <w:szCs w:val="20"/>
        </w:rPr>
        <w:lastRenderedPageBreak/>
        <w:sym w:font="Wingdings" w:char="F0E0"/>
      </w:r>
      <w:r w:rsidRPr="0075549F">
        <w:rPr>
          <w:rFonts w:ascii="Verdana" w:hAnsi="Verdana"/>
          <w:sz w:val="20"/>
          <w:szCs w:val="20"/>
        </w:rPr>
        <w:t>Keynes partiell pro Hicks, entschieden</w:t>
      </w:r>
      <w:r>
        <w:rPr>
          <w:rFonts w:ascii="Verdana" w:hAnsi="Verdana"/>
          <w:sz w:val="20"/>
          <w:szCs w:val="20"/>
        </w:rPr>
        <w:t xml:space="preserve"> gegen Modigliani.</w:t>
      </w:r>
      <w:r>
        <w:rPr>
          <w:rFonts w:ascii="Verdana" w:hAnsi="Verdana"/>
          <w:sz w:val="20"/>
          <w:szCs w:val="20"/>
        </w:rPr>
        <w:br/>
      </w:r>
      <w:r w:rsidRPr="0075549F">
        <w:rPr>
          <w:rFonts w:ascii="Verdana" w:hAnsi="Verdana"/>
          <w:sz w:val="20"/>
          <w:szCs w:val="20"/>
        </w:rPr>
        <w:sym w:font="Wingdings" w:char="F0E0"/>
      </w:r>
      <w:r w:rsidRPr="0075549F">
        <w:rPr>
          <w:rFonts w:ascii="Verdana" w:hAnsi="Verdana"/>
          <w:sz w:val="20"/>
          <w:szCs w:val="20"/>
        </w:rPr>
        <w:t xml:space="preserve">Modigliani und Samuelson (beide am MIT in Cambridge, MA) setzen sich als Mainstream durch </w:t>
      </w:r>
    </w:p>
    <w:p w:rsidR="0075549F" w:rsidRDefault="0075549F" w:rsidP="0075549F">
      <w:pPr>
        <w:pStyle w:val="KeinLeerraum"/>
        <w:rPr>
          <w:rFonts w:ascii="Verdana" w:hAnsi="Verdana"/>
          <w:sz w:val="20"/>
          <w:szCs w:val="20"/>
        </w:rPr>
      </w:pPr>
      <w:r w:rsidRPr="0075549F">
        <w:rPr>
          <w:rFonts w:ascii="Verdana" w:hAnsi="Verdana"/>
          <w:sz w:val="20"/>
          <w:szCs w:val="20"/>
        </w:rPr>
        <w:sym w:font="Wingdings" w:char="F0E0"/>
      </w:r>
      <w:r w:rsidRPr="0075549F">
        <w:rPr>
          <w:rFonts w:ascii="Verdana" w:hAnsi="Verdana"/>
          <w:sz w:val="20"/>
          <w:szCs w:val="20"/>
        </w:rPr>
        <w:t xml:space="preserve">Rest des Cambridge Circus (in England, v.a. Joan Robinson, Piero </w:t>
      </w:r>
      <w:proofErr w:type="spellStart"/>
      <w:r w:rsidRPr="0075549F">
        <w:rPr>
          <w:rFonts w:ascii="Verdana" w:hAnsi="Verdana"/>
          <w:sz w:val="20"/>
          <w:szCs w:val="20"/>
        </w:rPr>
        <w:t>Sraffa</w:t>
      </w:r>
      <w:proofErr w:type="spellEnd"/>
      <w:r w:rsidRPr="0075549F">
        <w:rPr>
          <w:rFonts w:ascii="Verdana" w:hAnsi="Verdana"/>
          <w:sz w:val="20"/>
          <w:szCs w:val="20"/>
        </w:rPr>
        <w:t xml:space="preserve">, Richard Kahn, neu dazu: Nicholas </w:t>
      </w:r>
      <w:proofErr w:type="spellStart"/>
      <w:r w:rsidRPr="0075549F">
        <w:rPr>
          <w:rFonts w:ascii="Verdana" w:hAnsi="Verdana"/>
          <w:sz w:val="20"/>
          <w:szCs w:val="20"/>
        </w:rPr>
        <w:t>Kaldor</w:t>
      </w:r>
      <w:proofErr w:type="spellEnd"/>
      <w:r w:rsidRPr="0075549F">
        <w:rPr>
          <w:rFonts w:ascii="Verdana" w:hAnsi="Verdana"/>
          <w:sz w:val="20"/>
          <w:szCs w:val="20"/>
        </w:rPr>
        <w:t xml:space="preserve">) attackieren ‚Vereinnahmung‘ von Keynes durch </w:t>
      </w:r>
      <w:r>
        <w:rPr>
          <w:rFonts w:ascii="Verdana" w:hAnsi="Verdana"/>
          <w:sz w:val="20"/>
          <w:szCs w:val="20"/>
        </w:rPr>
        <w:t>N</w:t>
      </w:r>
      <w:r w:rsidR="00504E2C">
        <w:rPr>
          <w:rFonts w:ascii="Verdana" w:hAnsi="Verdana"/>
          <w:sz w:val="20"/>
          <w:szCs w:val="20"/>
        </w:rPr>
        <w:t>eoklassik, aber mit wenig Echo.</w:t>
      </w:r>
    </w:p>
    <w:p w:rsidR="00504E2C" w:rsidRDefault="00504E2C" w:rsidP="0075549F">
      <w:pPr>
        <w:pStyle w:val="KeinLeerraum"/>
        <w:rPr>
          <w:rFonts w:ascii="Verdana" w:hAnsi="Verdana"/>
          <w:sz w:val="20"/>
          <w:szCs w:val="20"/>
        </w:rPr>
      </w:pPr>
    </w:p>
    <w:p w:rsidR="0075549F" w:rsidRDefault="0075549F" w:rsidP="0075549F">
      <w:pPr>
        <w:pStyle w:val="KeinLeerraum"/>
        <w:rPr>
          <w:rFonts w:ascii="Verdana" w:hAnsi="Verdana"/>
          <w:sz w:val="20"/>
          <w:szCs w:val="20"/>
        </w:rPr>
      </w:pPr>
    </w:p>
    <w:p w:rsidR="0075549F" w:rsidRPr="0075549F" w:rsidRDefault="0075549F" w:rsidP="0075549F">
      <w:pPr>
        <w:pStyle w:val="KeinLeerraum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3. </w:t>
      </w:r>
      <w:r w:rsidRPr="0075549F">
        <w:rPr>
          <w:rFonts w:ascii="Verdana" w:hAnsi="Verdana"/>
          <w:b/>
          <w:sz w:val="24"/>
          <w:szCs w:val="24"/>
          <w:u w:val="single"/>
        </w:rPr>
        <w:t>Die Rückkehr zur „reinen Lehre“ der Neoklassik(?)</w:t>
      </w:r>
    </w:p>
    <w:p w:rsidR="0075549F" w:rsidRPr="0075549F" w:rsidRDefault="0075549F" w:rsidP="0075549F">
      <w:pPr>
        <w:pStyle w:val="KeinLeerraum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Milton Friedman</w:t>
      </w:r>
      <w:r w:rsidRPr="0075549F">
        <w:rPr>
          <w:rFonts w:ascii="Verdana" w:hAnsi="Verdana"/>
          <w:sz w:val="20"/>
          <w:szCs w:val="20"/>
        </w:rPr>
        <w:t xml:space="preserve">: 1912 </w:t>
      </w:r>
      <w:r>
        <w:rPr>
          <w:rFonts w:ascii="Verdana" w:hAnsi="Verdana"/>
          <w:sz w:val="20"/>
          <w:szCs w:val="20"/>
        </w:rPr>
        <w:t>- 2006</w:t>
      </w:r>
    </w:p>
    <w:p w:rsidR="0075549F" w:rsidRPr="0075549F" w:rsidRDefault="00AA2702" w:rsidP="0075549F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="0075549F" w:rsidRPr="0075549F">
        <w:rPr>
          <w:rFonts w:ascii="Verdana" w:hAnsi="Verdana"/>
          <w:sz w:val="20"/>
          <w:szCs w:val="20"/>
        </w:rPr>
        <w:t xml:space="preserve">1957 „A </w:t>
      </w:r>
      <w:proofErr w:type="spellStart"/>
      <w:r w:rsidR="0075549F" w:rsidRPr="0075549F">
        <w:rPr>
          <w:rFonts w:ascii="Verdana" w:hAnsi="Verdana"/>
          <w:sz w:val="20"/>
          <w:szCs w:val="20"/>
        </w:rPr>
        <w:t>Theory</w:t>
      </w:r>
      <w:proofErr w:type="spellEnd"/>
      <w:r w:rsidR="0075549F" w:rsidRPr="0075549F">
        <w:rPr>
          <w:rFonts w:ascii="Verdana" w:hAnsi="Verdana"/>
          <w:sz w:val="20"/>
          <w:szCs w:val="20"/>
        </w:rPr>
        <w:t xml:space="preserve"> </w:t>
      </w:r>
      <w:proofErr w:type="spellStart"/>
      <w:r w:rsidR="0075549F" w:rsidRPr="0075549F">
        <w:rPr>
          <w:rFonts w:ascii="Verdana" w:hAnsi="Verdana"/>
          <w:sz w:val="20"/>
          <w:szCs w:val="20"/>
        </w:rPr>
        <w:t>of</w:t>
      </w:r>
      <w:proofErr w:type="spellEnd"/>
      <w:r w:rsidR="0075549F" w:rsidRPr="0075549F">
        <w:rPr>
          <w:rFonts w:ascii="Verdana" w:hAnsi="Verdana"/>
          <w:sz w:val="20"/>
          <w:szCs w:val="20"/>
        </w:rPr>
        <w:t xml:space="preserve"> </w:t>
      </w:r>
      <w:proofErr w:type="spellStart"/>
      <w:r w:rsidR="0075549F" w:rsidRPr="0075549F">
        <w:rPr>
          <w:rFonts w:ascii="Verdana" w:hAnsi="Verdana"/>
          <w:sz w:val="20"/>
          <w:szCs w:val="20"/>
        </w:rPr>
        <w:t>the</w:t>
      </w:r>
      <w:proofErr w:type="spellEnd"/>
      <w:r w:rsidR="0075549F" w:rsidRPr="0075549F">
        <w:rPr>
          <w:rFonts w:ascii="Verdana" w:hAnsi="Verdana"/>
          <w:sz w:val="20"/>
          <w:szCs w:val="20"/>
        </w:rPr>
        <w:t xml:space="preserve"> </w:t>
      </w:r>
      <w:proofErr w:type="spellStart"/>
      <w:r w:rsidR="0075549F" w:rsidRPr="0075549F">
        <w:rPr>
          <w:rFonts w:ascii="Verdana" w:hAnsi="Verdana"/>
          <w:sz w:val="20"/>
          <w:szCs w:val="20"/>
        </w:rPr>
        <w:t>Consumption</w:t>
      </w:r>
      <w:proofErr w:type="spellEnd"/>
      <w:r w:rsidR="0075549F" w:rsidRPr="0075549F">
        <w:rPr>
          <w:rFonts w:ascii="Verdana" w:hAnsi="Verdana"/>
          <w:sz w:val="20"/>
          <w:szCs w:val="20"/>
        </w:rPr>
        <w:t xml:space="preserve"> </w:t>
      </w:r>
      <w:proofErr w:type="spellStart"/>
      <w:r w:rsidR="0075549F" w:rsidRPr="0075549F">
        <w:rPr>
          <w:rFonts w:ascii="Verdana" w:hAnsi="Verdana"/>
          <w:sz w:val="20"/>
          <w:szCs w:val="20"/>
        </w:rPr>
        <w:t>Function</w:t>
      </w:r>
      <w:proofErr w:type="spellEnd"/>
      <w:r w:rsidR="0075549F" w:rsidRPr="0075549F">
        <w:rPr>
          <w:rFonts w:ascii="Verdana" w:hAnsi="Verdana"/>
          <w:sz w:val="20"/>
          <w:szCs w:val="20"/>
        </w:rPr>
        <w:t xml:space="preserve">“ </w:t>
      </w:r>
    </w:p>
    <w:p w:rsidR="0075549F" w:rsidRPr="0075549F" w:rsidRDefault="00AA2702" w:rsidP="00AA2702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- 1976 Nobelpreis</w:t>
      </w:r>
    </w:p>
    <w:p w:rsidR="0075549F" w:rsidRPr="0075549F" w:rsidRDefault="00AA2702" w:rsidP="0075549F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="0075549F" w:rsidRPr="0075549F">
        <w:rPr>
          <w:rFonts w:ascii="Verdana" w:hAnsi="Verdana"/>
          <w:sz w:val="20"/>
          <w:szCs w:val="20"/>
        </w:rPr>
        <w:t>Politisch liberal/libertär, Berater von Rea</w:t>
      </w:r>
      <w:r>
        <w:rPr>
          <w:rFonts w:ascii="Verdana" w:hAnsi="Verdana"/>
          <w:sz w:val="20"/>
          <w:szCs w:val="20"/>
        </w:rPr>
        <w:t>gan u. Thatcher, 1962.</w:t>
      </w:r>
    </w:p>
    <w:p w:rsidR="00AA2702" w:rsidRPr="00AA2702" w:rsidRDefault="00AA2702" w:rsidP="00AA2702">
      <w:pPr>
        <w:pStyle w:val="KeinLeerraum"/>
        <w:rPr>
          <w:rFonts w:ascii="Verdana" w:hAnsi="Verdana"/>
          <w:b/>
          <w:sz w:val="20"/>
          <w:szCs w:val="20"/>
        </w:rPr>
      </w:pPr>
      <w:r w:rsidRPr="00AA2702">
        <w:rPr>
          <w:rFonts w:ascii="Verdana" w:hAnsi="Verdana"/>
          <w:b/>
          <w:sz w:val="20"/>
          <w:szCs w:val="20"/>
        </w:rPr>
        <w:t xml:space="preserve">Friedmans Monetarismus: zurück zur Quantitätstheorie des Geldes </w:t>
      </w:r>
    </w:p>
    <w:p w:rsidR="00AA2702" w:rsidRPr="00AA2702" w:rsidRDefault="00AA2702" w:rsidP="00AA2702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K</w:t>
      </w:r>
      <w:r w:rsidRPr="00AA2702">
        <w:rPr>
          <w:rFonts w:ascii="Verdana" w:hAnsi="Verdana"/>
          <w:sz w:val="20"/>
          <w:szCs w:val="20"/>
        </w:rPr>
        <w:t xml:space="preserve">ritik an </w:t>
      </w:r>
      <w:proofErr w:type="spellStart"/>
      <w:r w:rsidRPr="00AA2702">
        <w:rPr>
          <w:rFonts w:ascii="Verdana" w:hAnsi="Verdana"/>
          <w:sz w:val="20"/>
          <w:szCs w:val="20"/>
        </w:rPr>
        <w:t>keynesianischer</w:t>
      </w:r>
      <w:proofErr w:type="spellEnd"/>
      <w:r w:rsidRPr="00AA2702">
        <w:rPr>
          <w:rFonts w:ascii="Verdana" w:hAnsi="Verdana"/>
          <w:sz w:val="20"/>
          <w:szCs w:val="20"/>
        </w:rPr>
        <w:t xml:space="preserve"> Konsumfunktion (1957): Konsum nicht am laufenden Einkommen orientiert, sondern am erwarteten Durchschnittseinkommen („permanent </w:t>
      </w:r>
      <w:proofErr w:type="spellStart"/>
      <w:r w:rsidRPr="00AA2702">
        <w:rPr>
          <w:rFonts w:ascii="Verdana" w:hAnsi="Verdana"/>
          <w:sz w:val="20"/>
          <w:szCs w:val="20"/>
        </w:rPr>
        <w:t>income</w:t>
      </w:r>
      <w:proofErr w:type="spellEnd"/>
      <w:r w:rsidRPr="00AA2702">
        <w:rPr>
          <w:rFonts w:ascii="Verdana" w:hAnsi="Verdana"/>
          <w:sz w:val="20"/>
          <w:szCs w:val="20"/>
        </w:rPr>
        <w:t xml:space="preserve"> </w:t>
      </w:r>
      <w:proofErr w:type="spellStart"/>
      <w:r w:rsidRPr="00AA2702">
        <w:rPr>
          <w:rFonts w:ascii="Verdana" w:hAnsi="Verdana"/>
          <w:sz w:val="20"/>
          <w:szCs w:val="20"/>
        </w:rPr>
        <w:t>hypothesis</w:t>
      </w:r>
      <w:proofErr w:type="spellEnd"/>
      <w:r w:rsidRPr="00AA2702">
        <w:rPr>
          <w:rFonts w:ascii="Verdana" w:hAnsi="Verdana"/>
          <w:sz w:val="20"/>
          <w:szCs w:val="20"/>
        </w:rPr>
        <w:t xml:space="preserve">“, ähnlich Modiglianis Lebenszyklushypothese) </w:t>
      </w:r>
    </w:p>
    <w:p w:rsidR="00AA2702" w:rsidRPr="00AA2702" w:rsidRDefault="00AA2702" w:rsidP="00AA2702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Pr="00AA2702">
        <w:rPr>
          <w:rFonts w:ascii="Verdana" w:hAnsi="Verdana"/>
          <w:sz w:val="20"/>
          <w:szCs w:val="20"/>
        </w:rPr>
        <w:t xml:space="preserve">Nachfrageorientierte Wirtschaftspolitik daher unwirksam (und schafft es ohnehin nicht, antizyklisch sein: lange Reaktionszeit) </w:t>
      </w:r>
    </w:p>
    <w:p w:rsidR="00AA2702" w:rsidRPr="00AA2702" w:rsidRDefault="00AA2702" w:rsidP="00AA2702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Pr="00AA2702">
        <w:rPr>
          <w:rFonts w:ascii="Verdana" w:hAnsi="Verdana"/>
          <w:sz w:val="20"/>
          <w:szCs w:val="20"/>
        </w:rPr>
        <w:t xml:space="preserve">Hist. Wirtschaftskrisen bei Friedman/Schwarz als Folge falscher Geldpolitik </w:t>
      </w:r>
    </w:p>
    <w:p w:rsidR="00AA2702" w:rsidRPr="00AA2702" w:rsidRDefault="00AA2702" w:rsidP="00AA2702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 xml:space="preserve">- </w:t>
      </w:r>
      <w:r w:rsidRPr="00AA2702">
        <w:rPr>
          <w:rFonts w:ascii="Verdana" w:hAnsi="Verdana"/>
          <w:i/>
          <w:iCs/>
          <w:sz w:val="20"/>
          <w:szCs w:val="20"/>
        </w:rPr>
        <w:t xml:space="preserve">Geldmengenausweitung erhöht Preisniveau, regt aber keine realen Einkommenszuwächse an (in den 1970ern dann tatsächlich Stagflation) </w:t>
      </w:r>
    </w:p>
    <w:p w:rsidR="00AA2702" w:rsidRDefault="00AA2702" w:rsidP="00AA2702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Pr="00AA2702">
        <w:rPr>
          <w:rFonts w:ascii="Verdana" w:hAnsi="Verdana"/>
          <w:sz w:val="20"/>
          <w:szCs w:val="20"/>
        </w:rPr>
        <w:t>Beschränkung der äußeren Eingriffe in die Ökonomie auf regelbasierte Geldpolitik (so dann Bun</w:t>
      </w:r>
      <w:r>
        <w:rPr>
          <w:rFonts w:ascii="Verdana" w:hAnsi="Verdana"/>
          <w:sz w:val="20"/>
          <w:szCs w:val="20"/>
        </w:rPr>
        <w:t>desbank ab 1974, Fed ab 1980er).</w:t>
      </w:r>
    </w:p>
    <w:p w:rsidR="00AA2702" w:rsidRDefault="00AA2702" w:rsidP="00AA2702">
      <w:pPr>
        <w:pStyle w:val="KeinLeerraum"/>
        <w:rPr>
          <w:rFonts w:ascii="Verdana" w:hAnsi="Verdana"/>
          <w:sz w:val="20"/>
          <w:szCs w:val="20"/>
        </w:rPr>
      </w:pPr>
    </w:p>
    <w:p w:rsidR="00AA2702" w:rsidRPr="00AA2702" w:rsidRDefault="00AA2702" w:rsidP="00AA2702">
      <w:pPr>
        <w:pStyle w:val="KeinLeerraum"/>
        <w:rPr>
          <w:rFonts w:ascii="Verdana" w:hAnsi="Verdana" w:cs="Calibri"/>
          <w:b/>
          <w:color w:val="000000"/>
          <w:sz w:val="20"/>
          <w:szCs w:val="20"/>
        </w:rPr>
      </w:pPr>
      <w:r w:rsidRPr="00AA2702">
        <w:rPr>
          <w:rFonts w:ascii="Verdana" w:hAnsi="Verdana" w:cs="Calibri"/>
          <w:b/>
          <w:bCs/>
          <w:color w:val="000000"/>
          <w:sz w:val="20"/>
          <w:szCs w:val="20"/>
        </w:rPr>
        <w:t xml:space="preserve">Der Mainstream: Ein Paradigma, zwei Theorien </w:t>
      </w:r>
    </w:p>
    <w:p w:rsidR="00AA2702" w:rsidRPr="00AA2702" w:rsidRDefault="00AA2702" w:rsidP="00AA2702">
      <w:pPr>
        <w:pStyle w:val="KeinLeerraum"/>
        <w:rPr>
          <w:rFonts w:ascii="Verdana" w:hAnsi="Verdana" w:cs="Calibri"/>
          <w:color w:val="000000"/>
          <w:sz w:val="20"/>
          <w:szCs w:val="20"/>
        </w:rPr>
      </w:pPr>
      <w:r>
        <w:rPr>
          <w:rFonts w:ascii="Verdana" w:hAnsi="Verdana" w:cs="Calibri"/>
          <w:color w:val="000000"/>
          <w:sz w:val="20"/>
          <w:szCs w:val="20"/>
        </w:rPr>
        <w:t xml:space="preserve">- </w:t>
      </w:r>
      <w:r w:rsidRPr="00AA2702">
        <w:rPr>
          <w:rFonts w:ascii="Verdana" w:hAnsi="Verdana" w:cs="Calibri"/>
          <w:color w:val="000000"/>
          <w:sz w:val="20"/>
          <w:szCs w:val="20"/>
          <w:u w:val="single"/>
        </w:rPr>
        <w:t>Wissenschaftstheoretischer Hintergrund</w:t>
      </w:r>
      <w:r w:rsidRPr="00AA2702">
        <w:rPr>
          <w:rFonts w:ascii="Verdana" w:hAnsi="Verdana" w:cs="Calibri"/>
          <w:color w:val="000000"/>
          <w:sz w:val="20"/>
          <w:szCs w:val="20"/>
        </w:rPr>
        <w:t xml:space="preserve">: Wiener Kreis (1924–36) </w:t>
      </w:r>
    </w:p>
    <w:p w:rsidR="00AA2702" w:rsidRPr="00AA2702" w:rsidRDefault="00AA2702" w:rsidP="00AA2702">
      <w:pPr>
        <w:pStyle w:val="KeinLeerraum"/>
        <w:rPr>
          <w:rFonts w:ascii="Verdana" w:hAnsi="Verdana" w:cs="Calibri"/>
          <w:color w:val="000000"/>
          <w:sz w:val="20"/>
          <w:szCs w:val="20"/>
        </w:rPr>
      </w:pPr>
      <w:r>
        <w:rPr>
          <w:rFonts w:ascii="Verdana" w:hAnsi="Verdana" w:cs="Calibri"/>
          <w:color w:val="000000"/>
          <w:sz w:val="20"/>
          <w:szCs w:val="20"/>
        </w:rPr>
        <w:t>- I</w:t>
      </w:r>
      <w:r w:rsidRPr="00AA2702">
        <w:rPr>
          <w:rFonts w:ascii="Verdana" w:hAnsi="Verdana" w:cs="Calibri"/>
          <w:color w:val="000000"/>
          <w:sz w:val="20"/>
          <w:szCs w:val="20"/>
        </w:rPr>
        <w:t xml:space="preserve">dee der Einheit der Wissenschaft, Ziel: „Einheitswissenschaft“, </w:t>
      </w:r>
    </w:p>
    <w:p w:rsidR="00AA2702" w:rsidRPr="00AA2702" w:rsidRDefault="00AA2702" w:rsidP="00AA2702">
      <w:pPr>
        <w:pStyle w:val="KeinLeerraum"/>
        <w:rPr>
          <w:rFonts w:ascii="Verdana" w:hAnsi="Verdana" w:cs="Calibri"/>
          <w:color w:val="000000"/>
          <w:sz w:val="20"/>
          <w:szCs w:val="20"/>
        </w:rPr>
      </w:pPr>
      <w:r>
        <w:rPr>
          <w:rFonts w:ascii="Verdana" w:hAnsi="Verdana" w:cs="Calibri"/>
          <w:color w:val="000000"/>
          <w:sz w:val="20"/>
          <w:szCs w:val="20"/>
        </w:rPr>
        <w:t xml:space="preserve">- </w:t>
      </w:r>
      <w:r w:rsidRPr="00AA2702">
        <w:rPr>
          <w:rFonts w:ascii="Verdana" w:hAnsi="Verdana" w:cs="Calibri"/>
          <w:color w:val="000000"/>
          <w:sz w:val="20"/>
          <w:szCs w:val="20"/>
        </w:rPr>
        <w:t xml:space="preserve">bes. in der Physik bis heute Programm: Suche nach der Grand Unified </w:t>
      </w:r>
      <w:proofErr w:type="spellStart"/>
      <w:r w:rsidRPr="00AA2702">
        <w:rPr>
          <w:rFonts w:ascii="Verdana" w:hAnsi="Verdana" w:cs="Calibri"/>
          <w:color w:val="000000"/>
          <w:sz w:val="20"/>
          <w:szCs w:val="20"/>
        </w:rPr>
        <w:t>Theory</w:t>
      </w:r>
      <w:proofErr w:type="spellEnd"/>
      <w:r w:rsidRPr="00AA2702">
        <w:rPr>
          <w:rFonts w:ascii="Verdana" w:hAnsi="Verdana" w:cs="Calibri"/>
          <w:color w:val="000000"/>
          <w:sz w:val="20"/>
          <w:szCs w:val="20"/>
        </w:rPr>
        <w:t xml:space="preserve"> </w:t>
      </w:r>
    </w:p>
    <w:p w:rsidR="00AA2702" w:rsidRPr="00AA2702" w:rsidRDefault="00AA2702" w:rsidP="00AA2702">
      <w:pPr>
        <w:pStyle w:val="KeinLeerraum"/>
        <w:rPr>
          <w:rFonts w:ascii="Verdana" w:hAnsi="Verdana" w:cs="Calibri"/>
          <w:color w:val="000000"/>
          <w:sz w:val="20"/>
          <w:szCs w:val="20"/>
        </w:rPr>
      </w:pPr>
      <w:r>
        <w:rPr>
          <w:rFonts w:ascii="Verdana" w:hAnsi="Verdana" w:cs="Calibri"/>
          <w:color w:val="000000"/>
          <w:sz w:val="20"/>
          <w:szCs w:val="20"/>
        </w:rPr>
        <w:t xml:space="preserve">- </w:t>
      </w:r>
      <w:r w:rsidRPr="00AA2702">
        <w:rPr>
          <w:rFonts w:ascii="Verdana" w:hAnsi="Verdana" w:cs="Calibri"/>
          <w:color w:val="000000"/>
          <w:sz w:val="20"/>
          <w:szCs w:val="20"/>
        </w:rPr>
        <w:t>Aber in der VWL: trotz Verknüpfung in der Neoklassischen Synthese zwei im G</w:t>
      </w:r>
      <w:r>
        <w:rPr>
          <w:rFonts w:ascii="Verdana" w:hAnsi="Verdana" w:cs="Calibri"/>
          <w:color w:val="000000"/>
          <w:sz w:val="20"/>
          <w:szCs w:val="20"/>
        </w:rPr>
        <w:t>runde inkommensurable Theorien:</w:t>
      </w:r>
      <w:r>
        <w:rPr>
          <w:rFonts w:ascii="Verdana" w:hAnsi="Verdana" w:cs="Calibri"/>
          <w:color w:val="000000"/>
          <w:sz w:val="20"/>
          <w:szCs w:val="20"/>
        </w:rPr>
        <w:br/>
      </w:r>
      <w:r w:rsidRPr="00AA2702">
        <w:rPr>
          <w:rFonts w:ascii="Verdana" w:hAnsi="Verdana" w:cs="Calibri"/>
          <w:color w:val="000000"/>
          <w:sz w:val="20"/>
          <w:szCs w:val="20"/>
        </w:rPr>
        <w:sym w:font="Wingdings" w:char="F0E0"/>
      </w:r>
      <w:r w:rsidRPr="00AA2702">
        <w:rPr>
          <w:rFonts w:ascii="Verdana" w:hAnsi="Verdana" w:cs="Calibri"/>
          <w:color w:val="000000"/>
          <w:sz w:val="20"/>
          <w:szCs w:val="20"/>
        </w:rPr>
        <w:t xml:space="preserve">Neoklassische Mikroökonomie der langen Frist </w:t>
      </w:r>
    </w:p>
    <w:p w:rsidR="00AA2702" w:rsidRPr="00AA2702" w:rsidRDefault="00AA2702" w:rsidP="00AA2702">
      <w:pPr>
        <w:pStyle w:val="KeinLeerraum"/>
        <w:rPr>
          <w:rFonts w:ascii="Verdana" w:hAnsi="Verdana" w:cs="Calibri"/>
          <w:color w:val="000000"/>
          <w:sz w:val="20"/>
          <w:szCs w:val="20"/>
        </w:rPr>
      </w:pPr>
      <w:r w:rsidRPr="00AA2702">
        <w:rPr>
          <w:rFonts w:ascii="Verdana" w:hAnsi="Verdana" w:cs="Calibri"/>
          <w:color w:val="000000"/>
          <w:sz w:val="20"/>
          <w:szCs w:val="20"/>
        </w:rPr>
        <w:sym w:font="Wingdings" w:char="F0E0"/>
      </w:r>
      <w:proofErr w:type="spellStart"/>
      <w:r w:rsidRPr="00AA2702">
        <w:rPr>
          <w:rFonts w:ascii="Verdana" w:hAnsi="Verdana" w:cs="Calibri"/>
          <w:color w:val="000000"/>
          <w:sz w:val="20"/>
          <w:szCs w:val="20"/>
        </w:rPr>
        <w:t>Keynesianische</w:t>
      </w:r>
      <w:proofErr w:type="spellEnd"/>
      <w:r w:rsidRPr="00AA2702">
        <w:rPr>
          <w:rFonts w:ascii="Verdana" w:hAnsi="Verdana" w:cs="Calibri"/>
          <w:color w:val="000000"/>
          <w:sz w:val="20"/>
          <w:szCs w:val="20"/>
        </w:rPr>
        <w:t xml:space="preserve"> </w:t>
      </w:r>
      <w:r>
        <w:rPr>
          <w:rFonts w:ascii="Verdana" w:hAnsi="Verdana" w:cs="Calibri"/>
          <w:color w:val="000000"/>
          <w:sz w:val="20"/>
          <w:szCs w:val="20"/>
        </w:rPr>
        <w:t xml:space="preserve">Makroökonomie der kurzen Frist </w:t>
      </w:r>
    </w:p>
    <w:p w:rsidR="00AA2702" w:rsidRPr="00AA2702" w:rsidRDefault="00AA2702" w:rsidP="00AA2702">
      <w:pPr>
        <w:pStyle w:val="KeinLeerraum"/>
        <w:rPr>
          <w:rFonts w:ascii="Verdana" w:hAnsi="Verdana" w:cs="Calibri"/>
          <w:color w:val="000000"/>
          <w:sz w:val="20"/>
          <w:szCs w:val="20"/>
        </w:rPr>
      </w:pPr>
      <w:r>
        <w:rPr>
          <w:rFonts w:ascii="Verdana" w:hAnsi="Verdana" w:cs="Calibri"/>
          <w:color w:val="000000"/>
          <w:sz w:val="20"/>
          <w:szCs w:val="20"/>
        </w:rPr>
        <w:t>- S</w:t>
      </w:r>
      <w:r w:rsidRPr="00AA2702">
        <w:rPr>
          <w:rFonts w:ascii="Verdana" w:hAnsi="Verdana" w:cs="Calibri"/>
          <w:color w:val="000000"/>
          <w:sz w:val="20"/>
          <w:szCs w:val="20"/>
        </w:rPr>
        <w:t xml:space="preserve">eit 1960er allmählich Versuche besserer Verknüpfung, d.h. Mikrofundierung der Makroökonomie </w:t>
      </w:r>
    </w:p>
    <w:p w:rsidR="00AA2702" w:rsidRDefault="00AA2702" w:rsidP="00AA2702">
      <w:pPr>
        <w:pStyle w:val="KeinLeerraum"/>
        <w:rPr>
          <w:rFonts w:ascii="Verdana" w:hAnsi="Verdana" w:cs="Calibri"/>
          <w:color w:val="000000"/>
          <w:sz w:val="20"/>
          <w:szCs w:val="20"/>
        </w:rPr>
      </w:pPr>
      <w:r>
        <w:rPr>
          <w:rFonts w:ascii="Verdana" w:hAnsi="Verdana" w:cs="Calibri"/>
          <w:color w:val="000000"/>
          <w:sz w:val="20"/>
          <w:szCs w:val="20"/>
        </w:rPr>
        <w:t xml:space="preserve">- </w:t>
      </w:r>
      <w:r w:rsidRPr="00AA2702">
        <w:rPr>
          <w:rFonts w:ascii="Verdana" w:hAnsi="Verdana" w:cs="Calibri"/>
          <w:color w:val="000000"/>
          <w:sz w:val="20"/>
          <w:szCs w:val="20"/>
        </w:rPr>
        <w:t>Bedeute</w:t>
      </w:r>
      <w:r>
        <w:rPr>
          <w:rFonts w:ascii="Verdana" w:hAnsi="Verdana" w:cs="Calibri"/>
          <w:color w:val="000000"/>
          <w:sz w:val="20"/>
          <w:szCs w:val="20"/>
        </w:rPr>
        <w:t>nder Anschub: Lucas-Kritik 1976.</w:t>
      </w:r>
    </w:p>
    <w:p w:rsidR="00AA2702" w:rsidRDefault="00AA2702" w:rsidP="00AA2702">
      <w:pPr>
        <w:pStyle w:val="KeinLeerraum"/>
        <w:rPr>
          <w:rFonts w:ascii="Verdana" w:hAnsi="Verdana" w:cs="Calibri"/>
          <w:color w:val="000000"/>
          <w:sz w:val="20"/>
          <w:szCs w:val="20"/>
        </w:rPr>
      </w:pPr>
    </w:p>
    <w:p w:rsidR="00AA2702" w:rsidRPr="00AA2702" w:rsidRDefault="00AA2702" w:rsidP="00AA2702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Robert E. Lucas</w:t>
      </w:r>
      <w:r w:rsidRPr="00AA2702">
        <w:rPr>
          <w:rFonts w:ascii="Verdana" w:hAnsi="Verdana"/>
          <w:bCs/>
          <w:sz w:val="20"/>
          <w:szCs w:val="20"/>
        </w:rPr>
        <w:t xml:space="preserve">: </w:t>
      </w:r>
      <w:r>
        <w:rPr>
          <w:rFonts w:ascii="Verdana" w:hAnsi="Verdana"/>
          <w:sz w:val="20"/>
          <w:szCs w:val="20"/>
        </w:rPr>
        <w:t>Geb. 15.09.1937</w:t>
      </w:r>
      <w:r w:rsidRPr="00AA2702">
        <w:rPr>
          <w:rFonts w:ascii="Verdana" w:hAnsi="Verdana"/>
          <w:sz w:val="20"/>
          <w:szCs w:val="20"/>
        </w:rPr>
        <w:t xml:space="preserve"> </w:t>
      </w:r>
    </w:p>
    <w:p w:rsidR="00AA2702" w:rsidRPr="00AA2702" w:rsidRDefault="00AA2702" w:rsidP="00AA2702">
      <w:pPr>
        <w:pStyle w:val="KeinLeerraum"/>
        <w:rPr>
          <w:rFonts w:ascii="Verdana" w:hAnsi="Verdana"/>
          <w:sz w:val="20"/>
          <w:szCs w:val="20"/>
        </w:rPr>
      </w:pPr>
      <w:r w:rsidRPr="00AA2702">
        <w:rPr>
          <w:rFonts w:ascii="Verdana" w:hAnsi="Verdana"/>
          <w:sz w:val="20"/>
          <w:szCs w:val="20"/>
        </w:rPr>
        <w:t>1972 „</w:t>
      </w:r>
      <w:proofErr w:type="spellStart"/>
      <w:r w:rsidRPr="00AA2702">
        <w:rPr>
          <w:rFonts w:ascii="Verdana" w:hAnsi="Verdana"/>
          <w:sz w:val="20"/>
          <w:szCs w:val="20"/>
        </w:rPr>
        <w:t>Expectations</w:t>
      </w:r>
      <w:proofErr w:type="spellEnd"/>
      <w:r w:rsidRPr="00AA2702">
        <w:rPr>
          <w:rFonts w:ascii="Verdana" w:hAnsi="Verdana"/>
          <w:sz w:val="20"/>
          <w:szCs w:val="20"/>
        </w:rPr>
        <w:t xml:space="preserve"> </w:t>
      </w:r>
      <w:proofErr w:type="spellStart"/>
      <w:r w:rsidRPr="00AA2702">
        <w:rPr>
          <w:rFonts w:ascii="Verdana" w:hAnsi="Verdana"/>
          <w:sz w:val="20"/>
          <w:szCs w:val="20"/>
        </w:rPr>
        <w:t>and</w:t>
      </w:r>
      <w:proofErr w:type="spellEnd"/>
      <w:r w:rsidRPr="00AA2702">
        <w:rPr>
          <w:rFonts w:ascii="Verdana" w:hAnsi="Verdana"/>
          <w:sz w:val="20"/>
          <w:szCs w:val="20"/>
        </w:rPr>
        <w:t xml:space="preserve"> </w:t>
      </w:r>
      <w:proofErr w:type="spellStart"/>
      <w:r w:rsidRPr="00AA2702">
        <w:rPr>
          <w:rFonts w:ascii="Verdana" w:hAnsi="Verdana"/>
          <w:sz w:val="20"/>
          <w:szCs w:val="20"/>
        </w:rPr>
        <w:t>the</w:t>
      </w:r>
      <w:proofErr w:type="spellEnd"/>
      <w:r w:rsidRPr="00AA2702">
        <w:rPr>
          <w:rFonts w:ascii="Verdana" w:hAnsi="Verdana"/>
          <w:sz w:val="20"/>
          <w:szCs w:val="20"/>
        </w:rPr>
        <w:t xml:space="preserve"> </w:t>
      </w:r>
      <w:proofErr w:type="spellStart"/>
      <w:r w:rsidRPr="00AA2702">
        <w:rPr>
          <w:rFonts w:ascii="Verdana" w:hAnsi="Verdana"/>
          <w:sz w:val="20"/>
          <w:szCs w:val="20"/>
        </w:rPr>
        <w:t>Neutrality</w:t>
      </w:r>
      <w:proofErr w:type="spellEnd"/>
      <w:r w:rsidRPr="00AA2702">
        <w:rPr>
          <w:rFonts w:ascii="Verdana" w:hAnsi="Verdana"/>
          <w:sz w:val="20"/>
          <w:szCs w:val="20"/>
        </w:rPr>
        <w:t xml:space="preserve"> </w:t>
      </w:r>
      <w:proofErr w:type="spellStart"/>
      <w:r w:rsidRPr="00AA2702">
        <w:rPr>
          <w:rFonts w:ascii="Verdana" w:hAnsi="Verdana"/>
          <w:sz w:val="20"/>
          <w:szCs w:val="20"/>
        </w:rPr>
        <w:t>of</w:t>
      </w:r>
      <w:proofErr w:type="spellEnd"/>
      <w:r w:rsidRPr="00AA2702">
        <w:rPr>
          <w:rFonts w:ascii="Verdana" w:hAnsi="Verdana"/>
          <w:sz w:val="20"/>
          <w:szCs w:val="20"/>
        </w:rPr>
        <w:t xml:space="preserve"> Money“ 1976 „</w:t>
      </w:r>
      <w:proofErr w:type="spellStart"/>
      <w:r w:rsidRPr="00AA2702">
        <w:rPr>
          <w:rFonts w:ascii="Verdana" w:hAnsi="Verdana"/>
          <w:sz w:val="20"/>
          <w:szCs w:val="20"/>
        </w:rPr>
        <w:t>Econometric</w:t>
      </w:r>
      <w:proofErr w:type="spellEnd"/>
      <w:r w:rsidRPr="00AA2702">
        <w:rPr>
          <w:rFonts w:ascii="Verdana" w:hAnsi="Verdana"/>
          <w:sz w:val="20"/>
          <w:szCs w:val="20"/>
        </w:rPr>
        <w:t xml:space="preserve"> </w:t>
      </w:r>
      <w:proofErr w:type="spellStart"/>
      <w:r w:rsidRPr="00AA2702">
        <w:rPr>
          <w:rFonts w:ascii="Verdana" w:hAnsi="Verdana"/>
          <w:sz w:val="20"/>
          <w:szCs w:val="20"/>
        </w:rPr>
        <w:t>Policy</w:t>
      </w:r>
      <w:proofErr w:type="spellEnd"/>
      <w:r w:rsidRPr="00AA2702">
        <w:rPr>
          <w:rFonts w:ascii="Verdana" w:hAnsi="Verdana"/>
          <w:sz w:val="20"/>
          <w:szCs w:val="20"/>
        </w:rPr>
        <w:t xml:space="preserve"> Evaluation: A </w:t>
      </w:r>
      <w:proofErr w:type="spellStart"/>
      <w:r w:rsidRPr="00AA2702">
        <w:rPr>
          <w:rFonts w:ascii="Verdana" w:hAnsi="Verdana"/>
          <w:sz w:val="20"/>
          <w:szCs w:val="20"/>
        </w:rPr>
        <w:t>Critique</w:t>
      </w:r>
      <w:proofErr w:type="spellEnd"/>
      <w:r w:rsidRPr="00AA2702">
        <w:rPr>
          <w:rFonts w:ascii="Verdana" w:hAnsi="Verdana"/>
          <w:sz w:val="20"/>
          <w:szCs w:val="20"/>
        </w:rPr>
        <w:t xml:space="preserve">“ </w:t>
      </w:r>
    </w:p>
    <w:p w:rsidR="00AA2702" w:rsidRPr="00AA2702" w:rsidRDefault="00AA2702" w:rsidP="00AA2702">
      <w:pPr>
        <w:pStyle w:val="KeinLeerraum"/>
        <w:rPr>
          <w:rFonts w:ascii="Verdana" w:hAnsi="Verdana"/>
          <w:sz w:val="20"/>
          <w:szCs w:val="20"/>
        </w:rPr>
      </w:pPr>
      <w:r w:rsidRPr="00AA2702">
        <w:rPr>
          <w:rFonts w:ascii="Verdana" w:hAnsi="Verdana"/>
          <w:sz w:val="20"/>
          <w:szCs w:val="20"/>
        </w:rPr>
        <w:t>1995 Nobelpreis “</w:t>
      </w:r>
      <w:proofErr w:type="spellStart"/>
      <w:r w:rsidRPr="00AA2702">
        <w:rPr>
          <w:rFonts w:ascii="Verdana" w:hAnsi="Verdana"/>
          <w:sz w:val="20"/>
          <w:szCs w:val="20"/>
        </w:rPr>
        <w:t>for</w:t>
      </w:r>
      <w:proofErr w:type="spellEnd"/>
      <w:r w:rsidRPr="00AA2702">
        <w:rPr>
          <w:rFonts w:ascii="Verdana" w:hAnsi="Verdana"/>
          <w:sz w:val="20"/>
          <w:szCs w:val="20"/>
        </w:rPr>
        <w:t xml:space="preserve"> </w:t>
      </w:r>
      <w:proofErr w:type="spellStart"/>
      <w:r w:rsidRPr="00AA2702">
        <w:rPr>
          <w:rFonts w:ascii="Verdana" w:hAnsi="Verdana"/>
          <w:sz w:val="20"/>
          <w:szCs w:val="20"/>
        </w:rPr>
        <w:t>having</w:t>
      </w:r>
      <w:proofErr w:type="spellEnd"/>
      <w:r w:rsidRPr="00AA2702">
        <w:rPr>
          <w:rFonts w:ascii="Verdana" w:hAnsi="Verdana"/>
          <w:sz w:val="20"/>
          <w:szCs w:val="20"/>
        </w:rPr>
        <w:t xml:space="preserve"> </w:t>
      </w:r>
      <w:proofErr w:type="spellStart"/>
      <w:r w:rsidRPr="00AA2702">
        <w:rPr>
          <w:rFonts w:ascii="Verdana" w:hAnsi="Verdana"/>
          <w:sz w:val="20"/>
          <w:szCs w:val="20"/>
        </w:rPr>
        <w:t>developed</w:t>
      </w:r>
      <w:proofErr w:type="spellEnd"/>
      <w:r w:rsidRPr="00AA2702">
        <w:rPr>
          <w:rFonts w:ascii="Verdana" w:hAnsi="Verdana"/>
          <w:sz w:val="20"/>
          <w:szCs w:val="20"/>
        </w:rPr>
        <w:t xml:space="preserve"> </w:t>
      </w:r>
      <w:proofErr w:type="spellStart"/>
      <w:r w:rsidRPr="00AA2702">
        <w:rPr>
          <w:rFonts w:ascii="Verdana" w:hAnsi="Verdana"/>
          <w:sz w:val="20"/>
          <w:szCs w:val="20"/>
        </w:rPr>
        <w:t>and</w:t>
      </w:r>
      <w:proofErr w:type="spellEnd"/>
      <w:r w:rsidRPr="00AA2702">
        <w:rPr>
          <w:rFonts w:ascii="Verdana" w:hAnsi="Verdana"/>
          <w:sz w:val="20"/>
          <w:szCs w:val="20"/>
        </w:rPr>
        <w:t xml:space="preserve"> </w:t>
      </w:r>
      <w:proofErr w:type="spellStart"/>
      <w:r w:rsidRPr="00AA2702">
        <w:rPr>
          <w:rFonts w:ascii="Verdana" w:hAnsi="Verdana"/>
          <w:sz w:val="20"/>
          <w:szCs w:val="20"/>
        </w:rPr>
        <w:t>applied</w:t>
      </w:r>
      <w:proofErr w:type="spellEnd"/>
      <w:r w:rsidRPr="00AA2702">
        <w:rPr>
          <w:rFonts w:ascii="Verdana" w:hAnsi="Verdana"/>
          <w:sz w:val="20"/>
          <w:szCs w:val="20"/>
        </w:rPr>
        <w:t xml:space="preserve"> </w:t>
      </w:r>
      <w:proofErr w:type="spellStart"/>
      <w:r w:rsidRPr="00AA2702">
        <w:rPr>
          <w:rFonts w:ascii="Verdana" w:hAnsi="Verdana"/>
          <w:sz w:val="20"/>
          <w:szCs w:val="20"/>
        </w:rPr>
        <w:t>the</w:t>
      </w:r>
      <w:proofErr w:type="spellEnd"/>
      <w:r w:rsidRPr="00AA2702">
        <w:rPr>
          <w:rFonts w:ascii="Verdana" w:hAnsi="Verdana"/>
          <w:sz w:val="20"/>
          <w:szCs w:val="20"/>
        </w:rPr>
        <w:t xml:space="preserve"> </w:t>
      </w:r>
      <w:proofErr w:type="spellStart"/>
      <w:r w:rsidRPr="00AA2702">
        <w:rPr>
          <w:rFonts w:ascii="Verdana" w:hAnsi="Verdana"/>
          <w:sz w:val="20"/>
          <w:szCs w:val="20"/>
        </w:rPr>
        <w:t>hypothesis</w:t>
      </w:r>
      <w:proofErr w:type="spellEnd"/>
      <w:r w:rsidRPr="00AA2702">
        <w:rPr>
          <w:rFonts w:ascii="Verdana" w:hAnsi="Verdana"/>
          <w:sz w:val="20"/>
          <w:szCs w:val="20"/>
        </w:rPr>
        <w:t xml:space="preserve"> </w:t>
      </w:r>
      <w:proofErr w:type="spellStart"/>
      <w:r w:rsidRPr="00AA2702">
        <w:rPr>
          <w:rFonts w:ascii="Verdana" w:hAnsi="Verdana"/>
          <w:sz w:val="20"/>
          <w:szCs w:val="20"/>
        </w:rPr>
        <w:t>of</w:t>
      </w:r>
      <w:proofErr w:type="spellEnd"/>
      <w:r w:rsidRPr="00AA2702">
        <w:rPr>
          <w:rFonts w:ascii="Verdana" w:hAnsi="Verdana"/>
          <w:sz w:val="20"/>
          <w:szCs w:val="20"/>
        </w:rPr>
        <w:t xml:space="preserve"> rational </w:t>
      </w:r>
      <w:proofErr w:type="spellStart"/>
      <w:r w:rsidRPr="00AA2702">
        <w:rPr>
          <w:rFonts w:ascii="Verdana" w:hAnsi="Verdana"/>
          <w:sz w:val="20"/>
          <w:szCs w:val="20"/>
        </w:rPr>
        <w:t>expectations</w:t>
      </w:r>
      <w:proofErr w:type="spellEnd"/>
      <w:r w:rsidRPr="00AA2702">
        <w:rPr>
          <w:rFonts w:ascii="Verdana" w:hAnsi="Verdana"/>
          <w:sz w:val="20"/>
          <w:szCs w:val="20"/>
        </w:rPr>
        <w:t xml:space="preserve">, </w:t>
      </w:r>
      <w:proofErr w:type="spellStart"/>
      <w:r w:rsidRPr="00AA2702">
        <w:rPr>
          <w:rFonts w:ascii="Verdana" w:hAnsi="Verdana"/>
          <w:sz w:val="20"/>
          <w:szCs w:val="20"/>
        </w:rPr>
        <w:t>and</w:t>
      </w:r>
      <w:proofErr w:type="spellEnd"/>
      <w:r w:rsidRPr="00AA2702">
        <w:rPr>
          <w:rFonts w:ascii="Verdana" w:hAnsi="Verdana"/>
          <w:sz w:val="20"/>
          <w:szCs w:val="20"/>
        </w:rPr>
        <w:t xml:space="preserve"> </w:t>
      </w:r>
      <w:proofErr w:type="spellStart"/>
      <w:r w:rsidRPr="00AA2702">
        <w:rPr>
          <w:rFonts w:ascii="Verdana" w:hAnsi="Verdana"/>
          <w:sz w:val="20"/>
          <w:szCs w:val="20"/>
        </w:rPr>
        <w:t>thereby</w:t>
      </w:r>
      <w:proofErr w:type="spellEnd"/>
      <w:r w:rsidRPr="00AA2702">
        <w:rPr>
          <w:rFonts w:ascii="Verdana" w:hAnsi="Verdana"/>
          <w:sz w:val="20"/>
          <w:szCs w:val="20"/>
        </w:rPr>
        <w:t xml:space="preserve"> </w:t>
      </w:r>
      <w:proofErr w:type="spellStart"/>
      <w:r w:rsidRPr="00AA2702">
        <w:rPr>
          <w:rFonts w:ascii="Verdana" w:hAnsi="Verdana"/>
          <w:sz w:val="20"/>
          <w:szCs w:val="20"/>
        </w:rPr>
        <w:t>having</w:t>
      </w:r>
      <w:proofErr w:type="spellEnd"/>
      <w:r w:rsidRPr="00AA2702">
        <w:rPr>
          <w:rFonts w:ascii="Verdana" w:hAnsi="Verdana"/>
          <w:sz w:val="20"/>
          <w:szCs w:val="20"/>
        </w:rPr>
        <w:t xml:space="preserve"> </w:t>
      </w:r>
      <w:proofErr w:type="spellStart"/>
      <w:r w:rsidRPr="00AA2702">
        <w:rPr>
          <w:rFonts w:ascii="Verdana" w:hAnsi="Verdana"/>
          <w:sz w:val="20"/>
          <w:szCs w:val="20"/>
        </w:rPr>
        <w:t>transformed</w:t>
      </w:r>
      <w:proofErr w:type="spellEnd"/>
      <w:r w:rsidRPr="00AA2702">
        <w:rPr>
          <w:rFonts w:ascii="Verdana" w:hAnsi="Verdana"/>
          <w:sz w:val="20"/>
          <w:szCs w:val="20"/>
        </w:rPr>
        <w:t xml:space="preserve"> </w:t>
      </w:r>
      <w:proofErr w:type="spellStart"/>
      <w:r w:rsidRPr="00AA2702">
        <w:rPr>
          <w:rFonts w:ascii="Verdana" w:hAnsi="Verdana"/>
          <w:sz w:val="20"/>
          <w:szCs w:val="20"/>
        </w:rPr>
        <w:t>macro-economic</w:t>
      </w:r>
      <w:proofErr w:type="spellEnd"/>
      <w:r w:rsidRPr="00AA2702">
        <w:rPr>
          <w:rFonts w:ascii="Verdana" w:hAnsi="Verdana"/>
          <w:sz w:val="20"/>
          <w:szCs w:val="20"/>
        </w:rPr>
        <w:t xml:space="preserve"> </w:t>
      </w:r>
      <w:proofErr w:type="spellStart"/>
      <w:r w:rsidRPr="00AA2702">
        <w:rPr>
          <w:rFonts w:ascii="Verdana" w:hAnsi="Verdana"/>
          <w:sz w:val="20"/>
          <w:szCs w:val="20"/>
        </w:rPr>
        <w:t>analysis</w:t>
      </w:r>
      <w:proofErr w:type="spellEnd"/>
      <w:r w:rsidRPr="00AA2702">
        <w:rPr>
          <w:rFonts w:ascii="Verdana" w:hAnsi="Verdana"/>
          <w:sz w:val="20"/>
          <w:szCs w:val="20"/>
        </w:rPr>
        <w:t xml:space="preserve"> </w:t>
      </w:r>
      <w:proofErr w:type="spellStart"/>
      <w:r w:rsidRPr="00AA2702">
        <w:rPr>
          <w:rFonts w:ascii="Verdana" w:hAnsi="Verdana"/>
          <w:sz w:val="20"/>
          <w:szCs w:val="20"/>
        </w:rPr>
        <w:t>and</w:t>
      </w:r>
      <w:proofErr w:type="spellEnd"/>
      <w:r w:rsidRPr="00AA2702">
        <w:rPr>
          <w:rFonts w:ascii="Verdana" w:hAnsi="Verdana"/>
          <w:sz w:val="20"/>
          <w:szCs w:val="20"/>
        </w:rPr>
        <w:t xml:space="preserve"> </w:t>
      </w:r>
      <w:proofErr w:type="spellStart"/>
      <w:r w:rsidRPr="00AA2702">
        <w:rPr>
          <w:rFonts w:ascii="Verdana" w:hAnsi="Verdana"/>
          <w:sz w:val="20"/>
          <w:szCs w:val="20"/>
        </w:rPr>
        <w:t>deepened</w:t>
      </w:r>
      <w:proofErr w:type="spellEnd"/>
      <w:r w:rsidRPr="00AA2702">
        <w:rPr>
          <w:rFonts w:ascii="Verdana" w:hAnsi="Verdana"/>
          <w:sz w:val="20"/>
          <w:szCs w:val="20"/>
        </w:rPr>
        <w:t xml:space="preserve"> </w:t>
      </w:r>
      <w:proofErr w:type="spellStart"/>
      <w:r w:rsidRPr="00AA2702">
        <w:rPr>
          <w:rFonts w:ascii="Verdana" w:hAnsi="Verdana"/>
          <w:sz w:val="20"/>
          <w:szCs w:val="20"/>
        </w:rPr>
        <w:t>our</w:t>
      </w:r>
      <w:proofErr w:type="spellEnd"/>
      <w:r w:rsidRPr="00AA2702">
        <w:rPr>
          <w:rFonts w:ascii="Verdana" w:hAnsi="Verdana"/>
          <w:sz w:val="20"/>
          <w:szCs w:val="20"/>
        </w:rPr>
        <w:t xml:space="preserve"> </w:t>
      </w:r>
      <w:proofErr w:type="spellStart"/>
      <w:r w:rsidRPr="00AA2702">
        <w:rPr>
          <w:rFonts w:ascii="Verdana" w:hAnsi="Verdana"/>
          <w:sz w:val="20"/>
          <w:szCs w:val="20"/>
        </w:rPr>
        <w:t>understanding</w:t>
      </w:r>
      <w:proofErr w:type="spellEnd"/>
      <w:r w:rsidRPr="00AA2702">
        <w:rPr>
          <w:rFonts w:ascii="Verdana" w:hAnsi="Verdana"/>
          <w:sz w:val="20"/>
          <w:szCs w:val="20"/>
        </w:rPr>
        <w:t xml:space="preserve"> </w:t>
      </w:r>
      <w:proofErr w:type="spellStart"/>
      <w:r w:rsidRPr="00AA2702">
        <w:rPr>
          <w:rFonts w:ascii="Verdana" w:hAnsi="Verdana"/>
          <w:sz w:val="20"/>
          <w:szCs w:val="20"/>
        </w:rPr>
        <w:t>of</w:t>
      </w:r>
      <w:proofErr w:type="spellEnd"/>
      <w:r w:rsidRPr="00AA2702">
        <w:rPr>
          <w:rFonts w:ascii="Verdana" w:hAnsi="Verdana"/>
          <w:sz w:val="20"/>
          <w:szCs w:val="20"/>
        </w:rPr>
        <w:t xml:space="preserve"> </w:t>
      </w:r>
      <w:proofErr w:type="spellStart"/>
      <w:r w:rsidRPr="00AA2702">
        <w:rPr>
          <w:rFonts w:ascii="Verdana" w:hAnsi="Verdana"/>
          <w:sz w:val="20"/>
          <w:szCs w:val="20"/>
        </w:rPr>
        <w:t>economic</w:t>
      </w:r>
      <w:proofErr w:type="spellEnd"/>
      <w:r w:rsidRPr="00AA2702">
        <w:rPr>
          <w:rFonts w:ascii="Verdana" w:hAnsi="Verdana"/>
          <w:sz w:val="20"/>
          <w:szCs w:val="20"/>
        </w:rPr>
        <w:t xml:space="preserve"> </w:t>
      </w:r>
      <w:proofErr w:type="spellStart"/>
      <w:r w:rsidRPr="00AA2702">
        <w:rPr>
          <w:rFonts w:ascii="Verdana" w:hAnsi="Verdana"/>
          <w:sz w:val="20"/>
          <w:szCs w:val="20"/>
        </w:rPr>
        <w:t>policy</w:t>
      </w:r>
      <w:proofErr w:type="spellEnd"/>
      <w:r w:rsidRPr="00AA2702">
        <w:rPr>
          <w:rFonts w:ascii="Verdana" w:hAnsi="Verdana"/>
          <w:sz w:val="20"/>
          <w:szCs w:val="20"/>
        </w:rPr>
        <w:t xml:space="preserve">” </w:t>
      </w:r>
    </w:p>
    <w:p w:rsidR="00AA2702" w:rsidRDefault="00AA2702" w:rsidP="00AA2702">
      <w:pPr>
        <w:pStyle w:val="KeinLeerraum"/>
        <w:rPr>
          <w:rFonts w:ascii="Verdana" w:hAnsi="Verdana"/>
          <w:sz w:val="20"/>
          <w:szCs w:val="20"/>
        </w:rPr>
      </w:pPr>
      <w:r w:rsidRPr="00AA2702">
        <w:rPr>
          <w:rFonts w:ascii="Verdana" w:hAnsi="Verdana"/>
          <w:sz w:val="20"/>
          <w:szCs w:val="20"/>
        </w:rPr>
        <w:t>Führender Makroökonom des späten 20. Jahrhunderts, wie Friedman Speers</w:t>
      </w:r>
      <w:r>
        <w:rPr>
          <w:rFonts w:ascii="Verdana" w:hAnsi="Verdana"/>
          <w:sz w:val="20"/>
          <w:szCs w:val="20"/>
        </w:rPr>
        <w:t>pitze gegen Keynesianismus.</w:t>
      </w:r>
    </w:p>
    <w:p w:rsidR="00AA2702" w:rsidRPr="00AA2702" w:rsidRDefault="00AA2702" w:rsidP="00AA2702">
      <w:pPr>
        <w:pStyle w:val="KeinLeerraum"/>
        <w:rPr>
          <w:rFonts w:ascii="Verdana" w:hAnsi="Verdana"/>
          <w:b/>
          <w:sz w:val="20"/>
          <w:szCs w:val="20"/>
        </w:rPr>
      </w:pPr>
      <w:r w:rsidRPr="00AA2702">
        <w:rPr>
          <w:rFonts w:ascii="Verdana" w:hAnsi="Verdana"/>
          <w:b/>
          <w:sz w:val="20"/>
          <w:szCs w:val="20"/>
        </w:rPr>
        <w:t xml:space="preserve">Lucas-Kritik an ökonometrischer Politikberatung </w:t>
      </w:r>
    </w:p>
    <w:p w:rsidR="00AA2702" w:rsidRPr="00AA2702" w:rsidRDefault="00AA2702" w:rsidP="00AA2702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L</w:t>
      </w:r>
      <w:r w:rsidRPr="00AA2702">
        <w:rPr>
          <w:rFonts w:ascii="Verdana" w:hAnsi="Verdana"/>
          <w:sz w:val="20"/>
          <w:szCs w:val="20"/>
        </w:rPr>
        <w:t>ucas (1976) „</w:t>
      </w:r>
      <w:proofErr w:type="spellStart"/>
      <w:r w:rsidRPr="00AA2702">
        <w:rPr>
          <w:rFonts w:ascii="Verdana" w:hAnsi="Verdana"/>
          <w:sz w:val="20"/>
          <w:szCs w:val="20"/>
        </w:rPr>
        <w:t>Econometric</w:t>
      </w:r>
      <w:proofErr w:type="spellEnd"/>
      <w:r w:rsidRPr="00AA2702">
        <w:rPr>
          <w:rFonts w:ascii="Verdana" w:hAnsi="Verdana"/>
          <w:sz w:val="20"/>
          <w:szCs w:val="20"/>
        </w:rPr>
        <w:t xml:space="preserve"> </w:t>
      </w:r>
      <w:proofErr w:type="spellStart"/>
      <w:r w:rsidRPr="00AA2702">
        <w:rPr>
          <w:rFonts w:ascii="Verdana" w:hAnsi="Verdana"/>
          <w:sz w:val="20"/>
          <w:szCs w:val="20"/>
        </w:rPr>
        <w:t>Policy</w:t>
      </w:r>
      <w:proofErr w:type="spellEnd"/>
      <w:r w:rsidRPr="00AA2702">
        <w:rPr>
          <w:rFonts w:ascii="Verdana" w:hAnsi="Verdana"/>
          <w:sz w:val="20"/>
          <w:szCs w:val="20"/>
        </w:rPr>
        <w:t xml:space="preserve"> Evaluation: A </w:t>
      </w:r>
      <w:proofErr w:type="spellStart"/>
      <w:r w:rsidRPr="00AA2702">
        <w:rPr>
          <w:rFonts w:ascii="Verdana" w:hAnsi="Verdana"/>
          <w:sz w:val="20"/>
          <w:szCs w:val="20"/>
        </w:rPr>
        <w:t>Critique</w:t>
      </w:r>
      <w:proofErr w:type="spellEnd"/>
      <w:r w:rsidRPr="00AA2702">
        <w:rPr>
          <w:rFonts w:ascii="Verdana" w:hAnsi="Verdana"/>
          <w:sz w:val="20"/>
          <w:szCs w:val="20"/>
        </w:rPr>
        <w:t xml:space="preserve">“ </w:t>
      </w:r>
    </w:p>
    <w:p w:rsidR="00AA2702" w:rsidRPr="00AA2702" w:rsidRDefault="00AA2702" w:rsidP="00AA2702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Pr="00AA2702">
        <w:rPr>
          <w:rFonts w:ascii="Verdana" w:hAnsi="Verdana"/>
          <w:sz w:val="20"/>
          <w:szCs w:val="20"/>
        </w:rPr>
        <w:t xml:space="preserve">Diskussion der Praktik, Politikempfehlungen aus ökonometrischen Modellen (historischer) Daten abzuleiten </w:t>
      </w:r>
    </w:p>
    <w:p w:rsidR="00AA2702" w:rsidRPr="00AA2702" w:rsidRDefault="00AA2702" w:rsidP="00AA2702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Pr="00AA2702">
        <w:rPr>
          <w:rFonts w:ascii="Verdana" w:hAnsi="Verdana"/>
          <w:sz w:val="20"/>
          <w:szCs w:val="20"/>
        </w:rPr>
        <w:t xml:space="preserve">Problem: Verhaltensannahmen werden aus der Beobachtung des Verhaltens von Akteuren unter anderen wirtschaftspolitischen Umständen gewonnen, sind damit aber ‚unter den neuen Spielregeln‘ nicht mehr valide </w:t>
      </w:r>
    </w:p>
    <w:p w:rsidR="00AA2702" w:rsidRPr="00AA2702" w:rsidRDefault="00AA2702" w:rsidP="00AA2702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Pr="00AA2702">
        <w:rPr>
          <w:rFonts w:ascii="Verdana" w:hAnsi="Verdana"/>
          <w:sz w:val="20"/>
          <w:szCs w:val="20"/>
        </w:rPr>
        <w:t xml:space="preserve">Akteure passen Ihre Erwartungen an, lassen sich nicht austricksen </w:t>
      </w:r>
    </w:p>
    <w:p w:rsidR="00AA2702" w:rsidRPr="00AA2702" w:rsidRDefault="00AA2702" w:rsidP="00AA2702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Pr="00AA2702">
        <w:rPr>
          <w:rFonts w:ascii="Verdana" w:hAnsi="Verdana"/>
          <w:b/>
          <w:sz w:val="20"/>
          <w:szCs w:val="20"/>
        </w:rPr>
        <w:t>Lösung</w:t>
      </w:r>
      <w:r w:rsidRPr="00AA2702">
        <w:rPr>
          <w:rFonts w:ascii="Verdana" w:hAnsi="Verdana"/>
          <w:sz w:val="20"/>
          <w:szCs w:val="20"/>
        </w:rPr>
        <w:t xml:space="preserve">: tiefe Mikrofundierung, d.h. auf (anscheinend) basale, unveränderliche Verhaltensannahmen der Mikroökonomie aufbauen </w:t>
      </w:r>
    </w:p>
    <w:p w:rsidR="00AA2702" w:rsidRPr="00AA2702" w:rsidRDefault="00AA2702" w:rsidP="00AA2702">
      <w:pPr>
        <w:pStyle w:val="KeinLeerraum"/>
        <w:rPr>
          <w:rFonts w:ascii="Verdana" w:hAnsi="Verdana"/>
          <w:sz w:val="20"/>
          <w:szCs w:val="20"/>
        </w:rPr>
      </w:pPr>
    </w:p>
    <w:p w:rsidR="00AA2702" w:rsidRPr="00AA2702" w:rsidRDefault="00AA2702" w:rsidP="00AA2702">
      <w:pPr>
        <w:pStyle w:val="KeinLeerraum"/>
        <w:rPr>
          <w:rFonts w:ascii="Verdana" w:hAnsi="Verdana" w:cs="Calibri"/>
          <w:color w:val="000000"/>
          <w:sz w:val="20"/>
          <w:szCs w:val="20"/>
        </w:rPr>
      </w:pPr>
    </w:p>
    <w:p w:rsidR="00AA2702" w:rsidRPr="00AA2702" w:rsidRDefault="00AA2702" w:rsidP="00AA2702">
      <w:pPr>
        <w:pStyle w:val="KeinLeerraum"/>
        <w:rPr>
          <w:rFonts w:ascii="Verdana" w:hAnsi="Verdana"/>
          <w:sz w:val="20"/>
          <w:szCs w:val="20"/>
        </w:rPr>
      </w:pPr>
    </w:p>
    <w:p w:rsidR="00AA2702" w:rsidRPr="00AA2702" w:rsidRDefault="00AA2702" w:rsidP="00AA2702">
      <w:pPr>
        <w:pStyle w:val="KeinLeerraum"/>
        <w:rPr>
          <w:rFonts w:ascii="Verdana" w:hAnsi="Verdana"/>
          <w:b/>
          <w:sz w:val="20"/>
          <w:szCs w:val="20"/>
        </w:rPr>
      </w:pPr>
      <w:r w:rsidRPr="00AA2702">
        <w:rPr>
          <w:rFonts w:ascii="Verdana" w:hAnsi="Verdana"/>
          <w:b/>
          <w:sz w:val="20"/>
          <w:szCs w:val="20"/>
        </w:rPr>
        <w:lastRenderedPageBreak/>
        <w:t>Neuklass</w:t>
      </w:r>
      <w:r>
        <w:rPr>
          <w:rFonts w:ascii="Verdana" w:hAnsi="Verdana"/>
          <w:b/>
          <w:sz w:val="20"/>
          <w:szCs w:val="20"/>
        </w:rPr>
        <w:t>ische Mikrofundierung bei Lucas</w:t>
      </w:r>
      <w:r w:rsidRPr="00AA2702">
        <w:rPr>
          <w:rFonts w:ascii="Verdana" w:hAnsi="Verdana"/>
          <w:sz w:val="20"/>
          <w:szCs w:val="20"/>
        </w:rPr>
        <w:t>:</w:t>
      </w:r>
    </w:p>
    <w:p w:rsidR="00AA2702" w:rsidRPr="00AA2702" w:rsidRDefault="00AA2702" w:rsidP="00AA2702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B</w:t>
      </w:r>
      <w:r w:rsidRPr="00AA2702">
        <w:rPr>
          <w:rFonts w:ascii="Verdana" w:hAnsi="Verdana"/>
          <w:sz w:val="20"/>
          <w:szCs w:val="20"/>
        </w:rPr>
        <w:t xml:space="preserve">ei Lukas vollständige Abkehr von Keynes; Makroökonomie aus ‚klassischen‘ mikroökonomischen Überlegungen abgeleitet </w:t>
      </w:r>
    </w:p>
    <w:p w:rsidR="00504E2C" w:rsidRDefault="00AA2702" w:rsidP="00AA2702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Pr="00AA2702">
        <w:rPr>
          <w:rFonts w:ascii="Verdana" w:hAnsi="Verdana"/>
          <w:sz w:val="20"/>
          <w:szCs w:val="20"/>
        </w:rPr>
        <w:t xml:space="preserve">Verhaltensannahmen: </w:t>
      </w:r>
      <w:r w:rsidRPr="00504E2C">
        <w:rPr>
          <w:rFonts w:ascii="Verdana" w:hAnsi="Verdana"/>
          <w:sz w:val="20"/>
          <w:szCs w:val="20"/>
          <w:u w:val="single"/>
        </w:rPr>
        <w:t>theoretisch versierter</w:t>
      </w:r>
      <w:r w:rsidR="00504E2C">
        <w:rPr>
          <w:rFonts w:ascii="Verdana" w:hAnsi="Verdana"/>
          <w:sz w:val="20"/>
          <w:szCs w:val="20"/>
        </w:rPr>
        <w:t xml:space="preserve"> Homo Oeconomicus</w:t>
      </w:r>
      <w:r w:rsidR="00504E2C">
        <w:rPr>
          <w:rFonts w:ascii="Verdana" w:hAnsi="Verdana"/>
          <w:sz w:val="20"/>
          <w:szCs w:val="20"/>
        </w:rPr>
        <w:br/>
      </w:r>
      <w:r w:rsidR="00504E2C" w:rsidRPr="00504E2C">
        <w:rPr>
          <w:rFonts w:ascii="Verdana" w:hAnsi="Verdana"/>
          <w:sz w:val="20"/>
          <w:szCs w:val="20"/>
        </w:rPr>
        <w:sym w:font="Wingdings" w:char="F0E0"/>
      </w:r>
      <w:r w:rsidRPr="00AA2702">
        <w:rPr>
          <w:rFonts w:ascii="Verdana" w:hAnsi="Verdana"/>
          <w:sz w:val="20"/>
          <w:szCs w:val="20"/>
        </w:rPr>
        <w:t>individuell</w:t>
      </w:r>
      <w:r w:rsidR="00504E2C">
        <w:rPr>
          <w:rFonts w:ascii="Verdana" w:hAnsi="Verdana"/>
          <w:sz w:val="20"/>
          <w:szCs w:val="20"/>
        </w:rPr>
        <w:t>, rational, nutzenmaximierend;</w:t>
      </w:r>
    </w:p>
    <w:p w:rsidR="00AA2702" w:rsidRPr="00AA2702" w:rsidRDefault="00504E2C" w:rsidP="00AA2702">
      <w:pPr>
        <w:pStyle w:val="KeinLeerraum"/>
        <w:rPr>
          <w:rFonts w:ascii="Verdana" w:hAnsi="Verdana"/>
          <w:sz w:val="20"/>
          <w:szCs w:val="20"/>
        </w:rPr>
      </w:pPr>
      <w:r w:rsidRPr="00504E2C">
        <w:rPr>
          <w:rFonts w:ascii="Verdana" w:hAnsi="Verdana"/>
          <w:sz w:val="20"/>
          <w:szCs w:val="20"/>
        </w:rPr>
        <w:sym w:font="Wingdings" w:char="F0E0"/>
      </w:r>
      <w:r w:rsidR="00AA2702" w:rsidRPr="00AA2702">
        <w:rPr>
          <w:rFonts w:ascii="Verdana" w:hAnsi="Verdana"/>
          <w:sz w:val="20"/>
          <w:szCs w:val="20"/>
        </w:rPr>
        <w:t>antizipiert (=entwertet) wirtschaft</w:t>
      </w:r>
      <w:r w:rsidR="00AA2702">
        <w:rPr>
          <w:rFonts w:ascii="Verdana" w:hAnsi="Verdana"/>
          <w:sz w:val="20"/>
          <w:szCs w:val="20"/>
        </w:rPr>
        <w:t xml:space="preserve">spolitische Lehrbuch-Maßnahmen </w:t>
      </w:r>
    </w:p>
    <w:p w:rsidR="00AA2702" w:rsidRPr="00AA2702" w:rsidRDefault="00504E2C" w:rsidP="00AA2702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="00AA2702" w:rsidRPr="00AA2702">
        <w:rPr>
          <w:rFonts w:ascii="Verdana" w:hAnsi="Verdana"/>
          <w:sz w:val="20"/>
          <w:szCs w:val="20"/>
        </w:rPr>
        <w:t xml:space="preserve">Volle Flexibilität aller Preise und Einkommen, Markträumung </w:t>
      </w:r>
    </w:p>
    <w:p w:rsidR="00AA2702" w:rsidRPr="00AA2702" w:rsidRDefault="00AA2702" w:rsidP="00AA2702">
      <w:pPr>
        <w:pStyle w:val="KeinLeerraum"/>
        <w:rPr>
          <w:rFonts w:ascii="Verdana" w:hAnsi="Verdana"/>
          <w:sz w:val="20"/>
          <w:szCs w:val="20"/>
        </w:rPr>
      </w:pPr>
      <w:r w:rsidRPr="00AA2702">
        <w:rPr>
          <w:rFonts w:ascii="Verdana" w:hAnsi="Verdana"/>
          <w:sz w:val="20"/>
          <w:szCs w:val="20"/>
        </w:rPr>
        <w:t xml:space="preserve">Resultat: perfekt funktionierende Wirtschaft </w:t>
      </w:r>
    </w:p>
    <w:p w:rsidR="00504E2C" w:rsidRDefault="00AA2702" w:rsidP="00504E2C">
      <w:pPr>
        <w:pStyle w:val="KeinLeerraum"/>
        <w:rPr>
          <w:rFonts w:ascii="Verdana" w:hAnsi="Verdana" w:cs="Cambria"/>
          <w:sz w:val="20"/>
          <w:szCs w:val="20"/>
        </w:rPr>
      </w:pPr>
      <w:r w:rsidRPr="00AA2702">
        <w:rPr>
          <w:rFonts w:ascii="Verdana" w:hAnsi="Verdana"/>
          <w:sz w:val="20"/>
          <w:szCs w:val="20"/>
        </w:rPr>
        <w:t xml:space="preserve">Kritik von Willem H. </w:t>
      </w:r>
      <w:proofErr w:type="spellStart"/>
      <w:r w:rsidRPr="00AA2702">
        <w:rPr>
          <w:rFonts w:ascii="Verdana" w:hAnsi="Verdana"/>
          <w:sz w:val="20"/>
          <w:szCs w:val="20"/>
        </w:rPr>
        <w:t>Buiter</w:t>
      </w:r>
      <w:proofErr w:type="spellEnd"/>
      <w:r w:rsidRPr="00AA2702">
        <w:rPr>
          <w:rFonts w:ascii="Verdana" w:hAnsi="Verdana"/>
          <w:sz w:val="20"/>
          <w:szCs w:val="20"/>
        </w:rPr>
        <w:t xml:space="preserve"> 1980: „The </w:t>
      </w:r>
      <w:proofErr w:type="spellStart"/>
      <w:r w:rsidRPr="00AA2702">
        <w:rPr>
          <w:rFonts w:ascii="Verdana" w:hAnsi="Verdana"/>
          <w:sz w:val="20"/>
          <w:szCs w:val="20"/>
        </w:rPr>
        <w:t>Macroeconomics</w:t>
      </w:r>
      <w:proofErr w:type="spellEnd"/>
      <w:r w:rsidRPr="00AA2702">
        <w:rPr>
          <w:rFonts w:ascii="Verdana" w:hAnsi="Verdana"/>
          <w:sz w:val="20"/>
          <w:szCs w:val="20"/>
        </w:rPr>
        <w:t xml:space="preserve"> </w:t>
      </w:r>
      <w:proofErr w:type="spellStart"/>
      <w:r w:rsidRPr="00AA2702">
        <w:rPr>
          <w:rFonts w:ascii="Verdana" w:hAnsi="Verdana"/>
          <w:sz w:val="20"/>
          <w:szCs w:val="20"/>
        </w:rPr>
        <w:t>of</w:t>
      </w:r>
      <w:proofErr w:type="spellEnd"/>
      <w:r w:rsidRPr="00AA2702">
        <w:rPr>
          <w:rFonts w:ascii="Verdana" w:hAnsi="Verdana"/>
          <w:sz w:val="20"/>
          <w:szCs w:val="20"/>
        </w:rPr>
        <w:t xml:space="preserve"> Dr. </w:t>
      </w:r>
      <w:proofErr w:type="spellStart"/>
      <w:r w:rsidRPr="00AA2702">
        <w:rPr>
          <w:rFonts w:ascii="Verdana" w:hAnsi="Verdana"/>
          <w:sz w:val="20"/>
          <w:szCs w:val="20"/>
        </w:rPr>
        <w:t>Pangloss</w:t>
      </w:r>
      <w:proofErr w:type="spellEnd"/>
      <w:r w:rsidRPr="00AA2702">
        <w:rPr>
          <w:rFonts w:ascii="Verdana" w:hAnsi="Verdana"/>
          <w:sz w:val="20"/>
          <w:szCs w:val="20"/>
        </w:rPr>
        <w:t xml:space="preserve">“ [Verweis auf Voltaire 1759 „Candide oder Die Beste der Welten“, </w:t>
      </w:r>
      <w:proofErr w:type="spellStart"/>
      <w:r w:rsidRPr="00AA2702">
        <w:rPr>
          <w:rFonts w:ascii="Verdana" w:hAnsi="Verdana" w:cs="Cambria"/>
          <w:sz w:val="20"/>
          <w:szCs w:val="20"/>
        </w:rPr>
        <w:t>Pangloss</w:t>
      </w:r>
      <w:proofErr w:type="spellEnd"/>
      <w:r w:rsidRPr="00AA2702">
        <w:rPr>
          <w:rFonts w:ascii="Verdana" w:hAnsi="Verdana" w:cs="Cambria"/>
          <w:sz w:val="20"/>
          <w:szCs w:val="20"/>
        </w:rPr>
        <w:t>: „‘</w:t>
      </w:r>
      <w:proofErr w:type="spellStart"/>
      <w:r w:rsidRPr="00AA2702">
        <w:rPr>
          <w:rFonts w:ascii="Verdana" w:hAnsi="Verdana" w:cs="Cambria"/>
          <w:sz w:val="20"/>
          <w:szCs w:val="20"/>
        </w:rPr>
        <w:t>Tis</w:t>
      </w:r>
      <w:proofErr w:type="spellEnd"/>
      <w:r w:rsidRPr="00AA2702">
        <w:rPr>
          <w:rFonts w:ascii="Verdana" w:hAnsi="Verdana" w:cs="Cambria"/>
          <w:sz w:val="20"/>
          <w:szCs w:val="20"/>
        </w:rPr>
        <w:t xml:space="preserve"> </w:t>
      </w:r>
      <w:proofErr w:type="spellStart"/>
      <w:r w:rsidRPr="00AA2702">
        <w:rPr>
          <w:rFonts w:ascii="Verdana" w:hAnsi="Verdana" w:cs="Cambria"/>
          <w:sz w:val="20"/>
          <w:szCs w:val="20"/>
        </w:rPr>
        <w:t>demonstrated</w:t>
      </w:r>
      <w:proofErr w:type="spellEnd"/>
      <w:r w:rsidRPr="00AA2702">
        <w:rPr>
          <w:rFonts w:ascii="Verdana" w:hAnsi="Verdana" w:cs="Cambria"/>
          <w:sz w:val="20"/>
          <w:szCs w:val="20"/>
        </w:rPr>
        <w:t xml:space="preserve"> […] </w:t>
      </w:r>
      <w:proofErr w:type="spellStart"/>
      <w:r w:rsidRPr="00AA2702">
        <w:rPr>
          <w:rFonts w:ascii="Verdana" w:hAnsi="Verdana" w:cs="Cambria"/>
          <w:sz w:val="20"/>
          <w:szCs w:val="20"/>
        </w:rPr>
        <w:t>that</w:t>
      </w:r>
      <w:proofErr w:type="spellEnd"/>
      <w:r w:rsidRPr="00AA2702">
        <w:rPr>
          <w:rFonts w:ascii="Verdana" w:hAnsi="Verdana" w:cs="Cambria"/>
          <w:sz w:val="20"/>
          <w:szCs w:val="20"/>
        </w:rPr>
        <w:t xml:space="preserve"> </w:t>
      </w:r>
      <w:proofErr w:type="spellStart"/>
      <w:r w:rsidRPr="00AA2702">
        <w:rPr>
          <w:rFonts w:ascii="Verdana" w:hAnsi="Verdana" w:cs="Cambria"/>
          <w:sz w:val="20"/>
          <w:szCs w:val="20"/>
        </w:rPr>
        <w:t>things</w:t>
      </w:r>
      <w:proofErr w:type="spellEnd"/>
      <w:r w:rsidRPr="00AA2702">
        <w:rPr>
          <w:rFonts w:ascii="Verdana" w:hAnsi="Verdana" w:cs="Cambria"/>
          <w:sz w:val="20"/>
          <w:szCs w:val="20"/>
        </w:rPr>
        <w:t xml:space="preserve"> </w:t>
      </w:r>
      <w:proofErr w:type="spellStart"/>
      <w:r w:rsidRPr="00AA2702">
        <w:rPr>
          <w:rFonts w:ascii="Verdana" w:hAnsi="Verdana" w:cs="Cambria"/>
          <w:sz w:val="20"/>
          <w:szCs w:val="20"/>
        </w:rPr>
        <w:t>cannot</w:t>
      </w:r>
      <w:proofErr w:type="spellEnd"/>
      <w:r w:rsidRPr="00AA2702">
        <w:rPr>
          <w:rFonts w:ascii="Verdana" w:hAnsi="Verdana" w:cs="Cambria"/>
          <w:sz w:val="20"/>
          <w:szCs w:val="20"/>
        </w:rPr>
        <w:t xml:space="preserve"> </w:t>
      </w:r>
      <w:proofErr w:type="spellStart"/>
      <w:r w:rsidRPr="00AA2702">
        <w:rPr>
          <w:rFonts w:ascii="Verdana" w:hAnsi="Verdana" w:cs="Cambria"/>
          <w:sz w:val="20"/>
          <w:szCs w:val="20"/>
        </w:rPr>
        <w:t>be</w:t>
      </w:r>
      <w:proofErr w:type="spellEnd"/>
      <w:r w:rsidRPr="00AA2702">
        <w:rPr>
          <w:rFonts w:ascii="Verdana" w:hAnsi="Verdana" w:cs="Cambria"/>
          <w:sz w:val="20"/>
          <w:szCs w:val="20"/>
        </w:rPr>
        <w:t xml:space="preserve"> </w:t>
      </w:r>
      <w:proofErr w:type="spellStart"/>
      <w:r w:rsidRPr="00AA2702">
        <w:rPr>
          <w:rFonts w:ascii="Verdana" w:hAnsi="Verdana" w:cs="Cambria"/>
          <w:sz w:val="20"/>
          <w:szCs w:val="20"/>
        </w:rPr>
        <w:t>otherwise</w:t>
      </w:r>
      <w:proofErr w:type="spellEnd"/>
      <w:r w:rsidRPr="00AA2702">
        <w:rPr>
          <w:rFonts w:ascii="Verdana" w:hAnsi="Verdana" w:cs="Cambria"/>
          <w:sz w:val="20"/>
          <w:szCs w:val="20"/>
        </w:rPr>
        <w:t xml:space="preserve">; </w:t>
      </w:r>
      <w:proofErr w:type="spellStart"/>
      <w:r w:rsidRPr="00AA2702">
        <w:rPr>
          <w:rFonts w:ascii="Verdana" w:hAnsi="Verdana" w:cs="Cambria"/>
          <w:sz w:val="20"/>
          <w:szCs w:val="20"/>
        </w:rPr>
        <w:t>for</w:t>
      </w:r>
      <w:proofErr w:type="spellEnd"/>
      <w:r w:rsidRPr="00AA2702">
        <w:rPr>
          <w:rFonts w:ascii="Verdana" w:hAnsi="Verdana" w:cs="Cambria"/>
          <w:sz w:val="20"/>
          <w:szCs w:val="20"/>
        </w:rPr>
        <w:t xml:space="preserve">, </w:t>
      </w:r>
      <w:proofErr w:type="spellStart"/>
      <w:r w:rsidRPr="00AA2702">
        <w:rPr>
          <w:rFonts w:ascii="Verdana" w:hAnsi="Verdana" w:cs="Cambria"/>
          <w:sz w:val="20"/>
          <w:szCs w:val="20"/>
        </w:rPr>
        <w:t>since</w:t>
      </w:r>
      <w:proofErr w:type="spellEnd"/>
      <w:r w:rsidRPr="00AA2702">
        <w:rPr>
          <w:rFonts w:ascii="Verdana" w:hAnsi="Verdana" w:cs="Cambria"/>
          <w:sz w:val="20"/>
          <w:szCs w:val="20"/>
        </w:rPr>
        <w:t xml:space="preserve"> </w:t>
      </w:r>
      <w:proofErr w:type="spellStart"/>
      <w:r w:rsidRPr="00AA2702">
        <w:rPr>
          <w:rFonts w:ascii="Verdana" w:hAnsi="Verdana" w:cs="Cambria"/>
          <w:sz w:val="20"/>
          <w:szCs w:val="20"/>
        </w:rPr>
        <w:t>everything</w:t>
      </w:r>
      <w:proofErr w:type="spellEnd"/>
      <w:r w:rsidRPr="00AA2702">
        <w:rPr>
          <w:rFonts w:ascii="Verdana" w:hAnsi="Verdana" w:cs="Cambria"/>
          <w:sz w:val="20"/>
          <w:szCs w:val="20"/>
        </w:rPr>
        <w:t xml:space="preserve"> </w:t>
      </w:r>
      <w:proofErr w:type="spellStart"/>
      <w:r w:rsidRPr="00AA2702">
        <w:rPr>
          <w:rFonts w:ascii="Verdana" w:hAnsi="Verdana" w:cs="Cambria"/>
          <w:sz w:val="20"/>
          <w:szCs w:val="20"/>
        </w:rPr>
        <w:t>is</w:t>
      </w:r>
      <w:proofErr w:type="spellEnd"/>
      <w:r w:rsidRPr="00AA2702">
        <w:rPr>
          <w:rFonts w:ascii="Verdana" w:hAnsi="Verdana" w:cs="Cambria"/>
          <w:sz w:val="20"/>
          <w:szCs w:val="20"/>
        </w:rPr>
        <w:t xml:space="preserve"> </w:t>
      </w:r>
      <w:proofErr w:type="spellStart"/>
      <w:r w:rsidRPr="00AA2702">
        <w:rPr>
          <w:rFonts w:ascii="Verdana" w:hAnsi="Verdana" w:cs="Cambria"/>
          <w:sz w:val="20"/>
          <w:szCs w:val="20"/>
        </w:rPr>
        <w:t>made</w:t>
      </w:r>
      <w:proofErr w:type="spellEnd"/>
      <w:r w:rsidRPr="00AA2702">
        <w:rPr>
          <w:rFonts w:ascii="Verdana" w:hAnsi="Verdana" w:cs="Cambria"/>
          <w:sz w:val="20"/>
          <w:szCs w:val="20"/>
        </w:rPr>
        <w:t xml:space="preserve"> </w:t>
      </w:r>
      <w:proofErr w:type="spellStart"/>
      <w:r w:rsidRPr="00AA2702">
        <w:rPr>
          <w:rFonts w:ascii="Verdana" w:hAnsi="Verdana" w:cs="Cambria"/>
          <w:sz w:val="20"/>
          <w:szCs w:val="20"/>
        </w:rPr>
        <w:t>for</w:t>
      </w:r>
      <w:proofErr w:type="spellEnd"/>
      <w:r w:rsidRPr="00AA2702">
        <w:rPr>
          <w:rFonts w:ascii="Verdana" w:hAnsi="Verdana" w:cs="Cambria"/>
          <w:sz w:val="20"/>
          <w:szCs w:val="20"/>
        </w:rPr>
        <w:t xml:space="preserve"> an end, </w:t>
      </w:r>
      <w:proofErr w:type="spellStart"/>
      <w:r w:rsidRPr="00AA2702">
        <w:rPr>
          <w:rFonts w:ascii="Verdana" w:hAnsi="Verdana" w:cs="Cambria"/>
          <w:sz w:val="20"/>
          <w:szCs w:val="20"/>
        </w:rPr>
        <w:t>everything</w:t>
      </w:r>
      <w:proofErr w:type="spellEnd"/>
      <w:r w:rsidRPr="00AA2702">
        <w:rPr>
          <w:rFonts w:ascii="Verdana" w:hAnsi="Verdana" w:cs="Cambria"/>
          <w:sz w:val="20"/>
          <w:szCs w:val="20"/>
        </w:rPr>
        <w:t xml:space="preserve"> </w:t>
      </w:r>
      <w:proofErr w:type="spellStart"/>
      <w:r w:rsidRPr="00AA2702">
        <w:rPr>
          <w:rFonts w:ascii="Verdana" w:hAnsi="Verdana" w:cs="Cambria"/>
          <w:sz w:val="20"/>
          <w:szCs w:val="20"/>
        </w:rPr>
        <w:t>is</w:t>
      </w:r>
      <w:proofErr w:type="spellEnd"/>
      <w:r w:rsidRPr="00AA2702">
        <w:rPr>
          <w:rFonts w:ascii="Verdana" w:hAnsi="Verdana" w:cs="Cambria"/>
          <w:sz w:val="20"/>
          <w:szCs w:val="20"/>
        </w:rPr>
        <w:t xml:space="preserve"> </w:t>
      </w:r>
      <w:proofErr w:type="spellStart"/>
      <w:r w:rsidRPr="00AA2702">
        <w:rPr>
          <w:rFonts w:ascii="Verdana" w:hAnsi="Verdana" w:cs="Cambria"/>
          <w:sz w:val="20"/>
          <w:szCs w:val="20"/>
        </w:rPr>
        <w:t>necessarily</w:t>
      </w:r>
      <w:proofErr w:type="spellEnd"/>
      <w:r w:rsidRPr="00AA2702">
        <w:rPr>
          <w:rFonts w:ascii="Verdana" w:hAnsi="Verdana" w:cs="Cambria"/>
          <w:sz w:val="20"/>
          <w:szCs w:val="20"/>
        </w:rPr>
        <w:t xml:space="preserve"> </w:t>
      </w:r>
      <w:proofErr w:type="spellStart"/>
      <w:r w:rsidRPr="00AA2702">
        <w:rPr>
          <w:rFonts w:ascii="Verdana" w:hAnsi="Verdana" w:cs="Cambria"/>
          <w:sz w:val="20"/>
          <w:szCs w:val="20"/>
        </w:rPr>
        <w:t>for</w:t>
      </w:r>
      <w:proofErr w:type="spellEnd"/>
      <w:r w:rsidRPr="00AA2702">
        <w:rPr>
          <w:rFonts w:ascii="Verdana" w:hAnsi="Verdana" w:cs="Cambria"/>
          <w:sz w:val="20"/>
          <w:szCs w:val="20"/>
        </w:rPr>
        <w:t xml:space="preserve"> </w:t>
      </w:r>
      <w:proofErr w:type="spellStart"/>
      <w:r w:rsidRPr="00AA2702">
        <w:rPr>
          <w:rFonts w:ascii="Verdana" w:hAnsi="Verdana" w:cs="Cambria"/>
          <w:sz w:val="20"/>
          <w:szCs w:val="20"/>
        </w:rPr>
        <w:t>the</w:t>
      </w:r>
      <w:proofErr w:type="spellEnd"/>
      <w:r w:rsidRPr="00AA2702">
        <w:rPr>
          <w:rFonts w:ascii="Verdana" w:hAnsi="Verdana" w:cs="Cambria"/>
          <w:sz w:val="20"/>
          <w:szCs w:val="20"/>
        </w:rPr>
        <w:t xml:space="preserve"> </w:t>
      </w:r>
      <w:proofErr w:type="spellStart"/>
      <w:r w:rsidRPr="00AA2702">
        <w:rPr>
          <w:rFonts w:ascii="Verdana" w:hAnsi="Verdana" w:cs="Cambria"/>
          <w:sz w:val="20"/>
          <w:szCs w:val="20"/>
        </w:rPr>
        <w:t>best</w:t>
      </w:r>
      <w:proofErr w:type="spellEnd"/>
      <w:r w:rsidRPr="00AA2702">
        <w:rPr>
          <w:rFonts w:ascii="Verdana" w:hAnsi="Verdana" w:cs="Cambria"/>
          <w:sz w:val="20"/>
          <w:szCs w:val="20"/>
        </w:rPr>
        <w:t xml:space="preserve"> end.“ Candide: „</w:t>
      </w:r>
      <w:proofErr w:type="spellStart"/>
      <w:r w:rsidRPr="00AA2702">
        <w:rPr>
          <w:rFonts w:ascii="Verdana" w:hAnsi="Verdana" w:cs="Cambria"/>
          <w:sz w:val="20"/>
          <w:szCs w:val="20"/>
        </w:rPr>
        <w:t>If</w:t>
      </w:r>
      <w:proofErr w:type="spellEnd"/>
      <w:r w:rsidRPr="00AA2702">
        <w:rPr>
          <w:rFonts w:ascii="Verdana" w:hAnsi="Verdana" w:cs="Cambria"/>
          <w:sz w:val="20"/>
          <w:szCs w:val="20"/>
        </w:rPr>
        <w:t xml:space="preserve"> </w:t>
      </w:r>
      <w:proofErr w:type="spellStart"/>
      <w:r w:rsidRPr="00AA2702">
        <w:rPr>
          <w:rFonts w:ascii="Verdana" w:hAnsi="Verdana" w:cs="Cambria"/>
          <w:sz w:val="20"/>
          <w:szCs w:val="20"/>
        </w:rPr>
        <w:t>this</w:t>
      </w:r>
      <w:proofErr w:type="spellEnd"/>
      <w:r w:rsidRPr="00AA2702">
        <w:rPr>
          <w:rFonts w:ascii="Verdana" w:hAnsi="Verdana" w:cs="Cambria"/>
          <w:sz w:val="20"/>
          <w:szCs w:val="20"/>
        </w:rPr>
        <w:t xml:space="preserve"> </w:t>
      </w:r>
      <w:proofErr w:type="spellStart"/>
      <w:r w:rsidRPr="00AA2702">
        <w:rPr>
          <w:rFonts w:ascii="Verdana" w:hAnsi="Verdana" w:cs="Cambria"/>
          <w:sz w:val="20"/>
          <w:szCs w:val="20"/>
        </w:rPr>
        <w:t>is</w:t>
      </w:r>
      <w:proofErr w:type="spellEnd"/>
      <w:r w:rsidRPr="00AA2702">
        <w:rPr>
          <w:rFonts w:ascii="Verdana" w:hAnsi="Verdana" w:cs="Cambria"/>
          <w:sz w:val="20"/>
          <w:szCs w:val="20"/>
        </w:rPr>
        <w:t xml:space="preserve"> </w:t>
      </w:r>
      <w:proofErr w:type="spellStart"/>
      <w:r w:rsidRPr="00AA2702">
        <w:rPr>
          <w:rFonts w:ascii="Verdana" w:hAnsi="Verdana" w:cs="Cambria"/>
          <w:sz w:val="20"/>
          <w:szCs w:val="20"/>
        </w:rPr>
        <w:t>the</w:t>
      </w:r>
      <w:proofErr w:type="spellEnd"/>
      <w:r w:rsidRPr="00AA2702">
        <w:rPr>
          <w:rFonts w:ascii="Verdana" w:hAnsi="Verdana" w:cs="Cambria"/>
          <w:sz w:val="20"/>
          <w:szCs w:val="20"/>
        </w:rPr>
        <w:t xml:space="preserve"> </w:t>
      </w:r>
      <w:proofErr w:type="spellStart"/>
      <w:r w:rsidRPr="00AA2702">
        <w:rPr>
          <w:rFonts w:ascii="Verdana" w:hAnsi="Verdana" w:cs="Cambria"/>
          <w:sz w:val="20"/>
          <w:szCs w:val="20"/>
        </w:rPr>
        <w:t>best</w:t>
      </w:r>
      <w:proofErr w:type="spellEnd"/>
      <w:r w:rsidRPr="00AA2702">
        <w:rPr>
          <w:rFonts w:ascii="Verdana" w:hAnsi="Verdana" w:cs="Cambria"/>
          <w:sz w:val="20"/>
          <w:szCs w:val="20"/>
        </w:rPr>
        <w:t xml:space="preserve"> </w:t>
      </w:r>
      <w:proofErr w:type="spellStart"/>
      <w:r w:rsidRPr="00AA2702">
        <w:rPr>
          <w:rFonts w:ascii="Verdana" w:hAnsi="Verdana" w:cs="Cambria"/>
          <w:sz w:val="20"/>
          <w:szCs w:val="20"/>
        </w:rPr>
        <w:t>of</w:t>
      </w:r>
      <w:proofErr w:type="spellEnd"/>
      <w:r w:rsidRPr="00AA2702">
        <w:rPr>
          <w:rFonts w:ascii="Verdana" w:hAnsi="Verdana" w:cs="Cambria"/>
          <w:sz w:val="20"/>
          <w:szCs w:val="20"/>
        </w:rPr>
        <w:t xml:space="preserve"> all </w:t>
      </w:r>
      <w:proofErr w:type="spellStart"/>
      <w:r w:rsidRPr="00AA2702">
        <w:rPr>
          <w:rFonts w:ascii="Verdana" w:hAnsi="Verdana" w:cs="Cambria"/>
          <w:sz w:val="20"/>
          <w:szCs w:val="20"/>
        </w:rPr>
        <w:t>possible</w:t>
      </w:r>
      <w:proofErr w:type="spellEnd"/>
      <w:r w:rsidR="00504E2C">
        <w:rPr>
          <w:rFonts w:ascii="Verdana" w:hAnsi="Verdana" w:cs="Cambria"/>
          <w:sz w:val="20"/>
          <w:szCs w:val="20"/>
        </w:rPr>
        <w:t xml:space="preserve"> </w:t>
      </w:r>
      <w:proofErr w:type="spellStart"/>
      <w:r w:rsidR="00504E2C">
        <w:rPr>
          <w:rFonts w:ascii="Verdana" w:hAnsi="Verdana" w:cs="Cambria"/>
          <w:sz w:val="20"/>
          <w:szCs w:val="20"/>
        </w:rPr>
        <w:t>worlds</w:t>
      </w:r>
      <w:proofErr w:type="spellEnd"/>
      <w:r w:rsidR="00504E2C">
        <w:rPr>
          <w:rFonts w:ascii="Verdana" w:hAnsi="Verdana" w:cs="Cambria"/>
          <w:sz w:val="20"/>
          <w:szCs w:val="20"/>
        </w:rPr>
        <w:t xml:space="preserve">, </w:t>
      </w:r>
      <w:proofErr w:type="spellStart"/>
      <w:r w:rsidR="00504E2C">
        <w:rPr>
          <w:rFonts w:ascii="Verdana" w:hAnsi="Verdana" w:cs="Cambria"/>
          <w:sz w:val="20"/>
          <w:szCs w:val="20"/>
        </w:rPr>
        <w:t>what</w:t>
      </w:r>
      <w:proofErr w:type="spellEnd"/>
      <w:r w:rsidR="00504E2C">
        <w:rPr>
          <w:rFonts w:ascii="Verdana" w:hAnsi="Verdana" w:cs="Cambria"/>
          <w:sz w:val="20"/>
          <w:szCs w:val="20"/>
        </w:rPr>
        <w:t xml:space="preserve"> </w:t>
      </w:r>
      <w:proofErr w:type="spellStart"/>
      <w:r w:rsidR="00504E2C">
        <w:rPr>
          <w:rFonts w:ascii="Verdana" w:hAnsi="Verdana" w:cs="Cambria"/>
          <w:sz w:val="20"/>
          <w:szCs w:val="20"/>
        </w:rPr>
        <w:t>are</w:t>
      </w:r>
      <w:proofErr w:type="spellEnd"/>
      <w:r w:rsidR="00504E2C">
        <w:rPr>
          <w:rFonts w:ascii="Verdana" w:hAnsi="Verdana" w:cs="Cambria"/>
          <w:sz w:val="20"/>
          <w:szCs w:val="20"/>
        </w:rPr>
        <w:t xml:space="preserve"> </w:t>
      </w:r>
      <w:proofErr w:type="spellStart"/>
      <w:r w:rsidR="00504E2C">
        <w:rPr>
          <w:rFonts w:ascii="Verdana" w:hAnsi="Verdana" w:cs="Cambria"/>
          <w:sz w:val="20"/>
          <w:szCs w:val="20"/>
        </w:rPr>
        <w:t>the</w:t>
      </w:r>
      <w:proofErr w:type="spellEnd"/>
      <w:r w:rsidR="00504E2C">
        <w:rPr>
          <w:rFonts w:ascii="Verdana" w:hAnsi="Verdana" w:cs="Cambria"/>
          <w:sz w:val="20"/>
          <w:szCs w:val="20"/>
        </w:rPr>
        <w:t xml:space="preserve"> </w:t>
      </w:r>
      <w:proofErr w:type="spellStart"/>
      <w:r w:rsidR="00504E2C">
        <w:rPr>
          <w:rFonts w:ascii="Verdana" w:hAnsi="Verdana" w:cs="Cambria"/>
          <w:sz w:val="20"/>
          <w:szCs w:val="20"/>
        </w:rPr>
        <w:t>others</w:t>
      </w:r>
      <w:proofErr w:type="spellEnd"/>
      <w:r w:rsidR="00504E2C">
        <w:rPr>
          <w:rFonts w:ascii="Verdana" w:hAnsi="Verdana" w:cs="Cambria"/>
          <w:sz w:val="20"/>
          <w:szCs w:val="20"/>
        </w:rPr>
        <w:t>?“].</w:t>
      </w:r>
    </w:p>
    <w:p w:rsidR="00504E2C" w:rsidRDefault="00504E2C" w:rsidP="00504E2C">
      <w:pPr>
        <w:pStyle w:val="KeinLeerraum"/>
        <w:rPr>
          <w:rFonts w:ascii="Verdana" w:hAnsi="Verdana" w:cs="Cambria"/>
          <w:sz w:val="20"/>
          <w:szCs w:val="20"/>
        </w:rPr>
      </w:pPr>
    </w:p>
    <w:p w:rsidR="00504E2C" w:rsidRPr="00504E2C" w:rsidRDefault="00504E2C" w:rsidP="00504E2C">
      <w:pPr>
        <w:pStyle w:val="KeinLeerraum"/>
        <w:rPr>
          <w:rFonts w:ascii="Verdana" w:hAnsi="Verdana"/>
          <w:b/>
          <w:sz w:val="20"/>
          <w:szCs w:val="20"/>
        </w:rPr>
      </w:pPr>
      <w:r w:rsidRPr="00504E2C">
        <w:rPr>
          <w:rFonts w:ascii="Verdana" w:hAnsi="Verdana"/>
          <w:b/>
          <w:sz w:val="20"/>
          <w:szCs w:val="20"/>
        </w:rPr>
        <w:t xml:space="preserve">Rückbesinnung: Was wollte Keynes wirklich? </w:t>
      </w:r>
    </w:p>
    <w:p w:rsidR="00504E2C" w:rsidRPr="00504E2C" w:rsidRDefault="00504E2C" w:rsidP="00504E2C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Pr="00504E2C">
        <w:rPr>
          <w:rFonts w:ascii="Verdana" w:hAnsi="Verdana"/>
          <w:sz w:val="20"/>
          <w:szCs w:val="20"/>
        </w:rPr>
        <w:t xml:space="preserve">Axel </w:t>
      </w:r>
      <w:proofErr w:type="spellStart"/>
      <w:r w:rsidRPr="00504E2C">
        <w:rPr>
          <w:rFonts w:ascii="Verdana" w:hAnsi="Verdana"/>
          <w:sz w:val="20"/>
          <w:szCs w:val="20"/>
        </w:rPr>
        <w:t>Leijonhufvud</w:t>
      </w:r>
      <w:proofErr w:type="spellEnd"/>
      <w:r w:rsidRPr="00504E2C">
        <w:rPr>
          <w:rFonts w:ascii="Verdana" w:hAnsi="Verdana"/>
          <w:sz w:val="20"/>
          <w:szCs w:val="20"/>
        </w:rPr>
        <w:t xml:space="preserve"> (1968): Neoklassische Synthese völlig inkorrekt in ihrer Interpretation von Keynes -&gt; vielbeachteter Debattenbeitrag, in der Folge u.a. Niedergang des IS-LM-Modells </w:t>
      </w:r>
    </w:p>
    <w:p w:rsidR="00504E2C" w:rsidRPr="00504E2C" w:rsidRDefault="00504E2C" w:rsidP="00504E2C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Pr="00504E2C">
        <w:rPr>
          <w:rFonts w:ascii="Verdana" w:hAnsi="Verdana"/>
          <w:sz w:val="20"/>
          <w:szCs w:val="20"/>
        </w:rPr>
        <w:t xml:space="preserve">Robinson (1971): Neoklassische Synthese ist „Bastard </w:t>
      </w:r>
      <w:proofErr w:type="spellStart"/>
      <w:r w:rsidRPr="00504E2C">
        <w:rPr>
          <w:rFonts w:ascii="Verdana" w:hAnsi="Verdana"/>
          <w:sz w:val="20"/>
          <w:szCs w:val="20"/>
        </w:rPr>
        <w:t>Keynesianism</w:t>
      </w:r>
      <w:proofErr w:type="spellEnd"/>
      <w:r w:rsidRPr="00504E2C">
        <w:rPr>
          <w:rFonts w:ascii="Verdana" w:hAnsi="Verdana"/>
          <w:sz w:val="20"/>
          <w:szCs w:val="20"/>
        </w:rPr>
        <w:t xml:space="preserve">“ -&gt; im heterodoxen Postkeynesianismus stattdessen Weiterentwicklung des ‚ursprünglichen Keynes‘ unter Bezug auf Michael </w:t>
      </w:r>
      <w:proofErr w:type="spellStart"/>
      <w:r w:rsidRPr="00504E2C">
        <w:rPr>
          <w:rFonts w:ascii="Verdana" w:hAnsi="Verdana"/>
          <w:sz w:val="20"/>
          <w:szCs w:val="20"/>
        </w:rPr>
        <w:t>Kalecki</w:t>
      </w:r>
      <w:proofErr w:type="spellEnd"/>
      <w:r w:rsidRPr="00504E2C">
        <w:rPr>
          <w:rFonts w:ascii="Verdana" w:hAnsi="Verdana"/>
          <w:sz w:val="20"/>
          <w:szCs w:val="20"/>
        </w:rPr>
        <w:t xml:space="preserve"> und Marx, u.a. von Robinson, Hyman P. </w:t>
      </w:r>
      <w:proofErr w:type="spellStart"/>
      <w:r w:rsidRPr="00504E2C">
        <w:rPr>
          <w:rFonts w:ascii="Verdana" w:hAnsi="Verdana"/>
          <w:sz w:val="20"/>
          <w:szCs w:val="20"/>
        </w:rPr>
        <w:t>Minsky</w:t>
      </w:r>
      <w:proofErr w:type="spellEnd"/>
      <w:r w:rsidRPr="00504E2C">
        <w:rPr>
          <w:rFonts w:ascii="Verdana" w:hAnsi="Verdana"/>
          <w:sz w:val="20"/>
          <w:szCs w:val="20"/>
        </w:rPr>
        <w:t xml:space="preserve">, Paul Davidson, u.a. </w:t>
      </w:r>
    </w:p>
    <w:p w:rsidR="00504E2C" w:rsidRDefault="00504E2C" w:rsidP="00504E2C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Pr="00504E2C">
        <w:rPr>
          <w:rFonts w:ascii="Verdana" w:hAnsi="Verdana"/>
          <w:sz w:val="20"/>
          <w:szCs w:val="20"/>
        </w:rPr>
        <w:t>Hicks (1980): IS-LM war eher ein „</w:t>
      </w:r>
      <w:proofErr w:type="spellStart"/>
      <w:r w:rsidRPr="00504E2C">
        <w:rPr>
          <w:rFonts w:ascii="Verdana" w:hAnsi="Verdana"/>
          <w:sz w:val="20"/>
          <w:szCs w:val="20"/>
        </w:rPr>
        <w:t>classroom</w:t>
      </w:r>
      <w:proofErr w:type="spellEnd"/>
      <w:r w:rsidRPr="00504E2C">
        <w:rPr>
          <w:rFonts w:ascii="Verdana" w:hAnsi="Verdana"/>
          <w:sz w:val="20"/>
          <w:szCs w:val="20"/>
        </w:rPr>
        <w:t xml:space="preserve"> </w:t>
      </w:r>
      <w:proofErr w:type="spellStart"/>
      <w:r w:rsidRPr="00504E2C">
        <w:rPr>
          <w:rFonts w:ascii="Verdana" w:hAnsi="Verdana"/>
          <w:sz w:val="20"/>
          <w:szCs w:val="20"/>
        </w:rPr>
        <w:t>gadget</w:t>
      </w:r>
      <w:proofErr w:type="spellEnd"/>
      <w:r w:rsidRPr="00504E2C">
        <w:rPr>
          <w:rFonts w:ascii="Verdana" w:hAnsi="Verdana"/>
          <w:sz w:val="20"/>
          <w:szCs w:val="20"/>
        </w:rPr>
        <w:t xml:space="preserve">“, im ersten Verstehen der General </w:t>
      </w:r>
      <w:proofErr w:type="spellStart"/>
      <w:r w:rsidRPr="00504E2C">
        <w:rPr>
          <w:rFonts w:ascii="Verdana" w:hAnsi="Verdana"/>
          <w:sz w:val="20"/>
          <w:szCs w:val="20"/>
        </w:rPr>
        <w:t>Theory</w:t>
      </w:r>
      <w:proofErr w:type="spellEnd"/>
      <w:r w:rsidRPr="00504E2C">
        <w:rPr>
          <w:rFonts w:ascii="Verdana" w:hAnsi="Verdana"/>
          <w:sz w:val="20"/>
          <w:szCs w:val="20"/>
        </w:rPr>
        <w:t xml:space="preserve"> entworfen – nicht der Weisheit letzter Schluss. </w:t>
      </w:r>
      <w:r w:rsidRPr="00504E2C">
        <w:rPr>
          <w:rFonts w:ascii="Verdana" w:hAnsi="Verdana"/>
          <w:sz w:val="20"/>
          <w:szCs w:val="20"/>
          <w:u w:val="single"/>
        </w:rPr>
        <w:t>Unsicherheit</w:t>
      </w:r>
      <w:r w:rsidRPr="00504E2C">
        <w:rPr>
          <w:rFonts w:ascii="Verdana" w:hAnsi="Verdana"/>
          <w:sz w:val="20"/>
          <w:szCs w:val="20"/>
        </w:rPr>
        <w:t xml:space="preserve"> als zentraler Aspekte von Keynes war gar nicht enthalten, umgekehrt die Gleichgewichtsperspektive nicht zentral für Keynes -&gt; ebnete leider den Weg für ein ve</w:t>
      </w:r>
      <w:r>
        <w:rPr>
          <w:rFonts w:ascii="Verdana" w:hAnsi="Verdana"/>
          <w:sz w:val="20"/>
          <w:szCs w:val="20"/>
        </w:rPr>
        <w:t>rzerrtes Verständnis von Keynes.</w:t>
      </w:r>
    </w:p>
    <w:p w:rsidR="00504E2C" w:rsidRDefault="00504E2C" w:rsidP="00504E2C">
      <w:pPr>
        <w:pStyle w:val="KeinLeerraum"/>
        <w:rPr>
          <w:rFonts w:ascii="Verdana" w:hAnsi="Verdana"/>
          <w:sz w:val="20"/>
          <w:szCs w:val="20"/>
        </w:rPr>
      </w:pPr>
    </w:p>
    <w:p w:rsidR="00504E2C" w:rsidRPr="00504E2C" w:rsidRDefault="00504E2C" w:rsidP="00504E2C">
      <w:pPr>
        <w:pStyle w:val="KeinLeerraum"/>
        <w:rPr>
          <w:rFonts w:ascii="Verdana" w:hAnsi="Verdana"/>
          <w:b/>
          <w:sz w:val="20"/>
          <w:szCs w:val="20"/>
        </w:rPr>
      </w:pPr>
      <w:r w:rsidRPr="00504E2C">
        <w:rPr>
          <w:rFonts w:ascii="Verdana" w:hAnsi="Verdana"/>
          <w:b/>
          <w:sz w:val="20"/>
          <w:szCs w:val="20"/>
        </w:rPr>
        <w:t xml:space="preserve">Gegenreaktion: „Neue Neoklassische Synthese“ des Neukeynesianismus </w:t>
      </w:r>
    </w:p>
    <w:p w:rsidR="00504E2C" w:rsidRPr="00504E2C" w:rsidRDefault="00504E2C" w:rsidP="00504E2C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A</w:t>
      </w:r>
      <w:r w:rsidRPr="00504E2C">
        <w:rPr>
          <w:rFonts w:ascii="Verdana" w:hAnsi="Verdana"/>
          <w:sz w:val="20"/>
          <w:szCs w:val="20"/>
        </w:rPr>
        <w:t xml:space="preserve">ntwort auf den neuklassischen Optimismus der Selbstregulierung </w:t>
      </w:r>
    </w:p>
    <w:p w:rsidR="00504E2C" w:rsidRPr="00504E2C" w:rsidRDefault="00504E2C" w:rsidP="00504E2C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A</w:t>
      </w:r>
      <w:r w:rsidRPr="00504E2C">
        <w:rPr>
          <w:rFonts w:ascii="Verdana" w:hAnsi="Verdana"/>
          <w:sz w:val="20"/>
          <w:szCs w:val="20"/>
        </w:rPr>
        <w:t xml:space="preserve">ufschwung seit 1980er Jahren, heute z.T. wieder Mainstream (USA) </w:t>
      </w:r>
    </w:p>
    <w:p w:rsidR="00504E2C" w:rsidRPr="00504E2C" w:rsidRDefault="00504E2C" w:rsidP="00504E2C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proofErr w:type="spellStart"/>
      <w:r>
        <w:rPr>
          <w:rFonts w:ascii="Verdana" w:hAnsi="Verdana"/>
          <w:sz w:val="20"/>
          <w:szCs w:val="20"/>
        </w:rPr>
        <w:t>N</w:t>
      </w:r>
      <w:r w:rsidRPr="00504E2C">
        <w:rPr>
          <w:rFonts w:ascii="Verdana" w:hAnsi="Verdana"/>
          <w:sz w:val="20"/>
          <w:szCs w:val="20"/>
        </w:rPr>
        <w:t>eukeynesianer</w:t>
      </w:r>
      <w:proofErr w:type="spellEnd"/>
      <w:r w:rsidRPr="00504E2C">
        <w:rPr>
          <w:rFonts w:ascii="Verdana" w:hAnsi="Verdana"/>
          <w:sz w:val="20"/>
          <w:szCs w:val="20"/>
        </w:rPr>
        <w:t xml:space="preserve"> betreiben auch Mikrofundierung, gehen auch von rationalen Erwartungen und langfristigen Gleichgewichten aus </w:t>
      </w:r>
    </w:p>
    <w:p w:rsidR="00504E2C" w:rsidRPr="00504E2C" w:rsidRDefault="00504E2C" w:rsidP="00504E2C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Pr="00504E2C">
        <w:rPr>
          <w:rFonts w:ascii="Verdana" w:hAnsi="Verdana"/>
          <w:sz w:val="20"/>
          <w:szCs w:val="20"/>
        </w:rPr>
        <w:t>dazu aber verschie</w:t>
      </w:r>
      <w:r>
        <w:rPr>
          <w:rFonts w:ascii="Verdana" w:hAnsi="Verdana"/>
          <w:sz w:val="20"/>
          <w:szCs w:val="20"/>
        </w:rPr>
        <w:t>dene Formen des Marktversagens:</w:t>
      </w:r>
      <w:r>
        <w:rPr>
          <w:rFonts w:ascii="Verdana" w:hAnsi="Verdana"/>
          <w:sz w:val="20"/>
          <w:szCs w:val="20"/>
        </w:rPr>
        <w:br/>
      </w:r>
      <w:r w:rsidRPr="00504E2C">
        <w:rPr>
          <w:rFonts w:ascii="Verdana" w:hAnsi="Verdana"/>
          <w:sz w:val="20"/>
          <w:szCs w:val="20"/>
        </w:rPr>
        <w:sym w:font="Wingdings" w:char="F0E0"/>
      </w:r>
      <w:r w:rsidRPr="00504E2C">
        <w:rPr>
          <w:rFonts w:ascii="Verdana" w:hAnsi="Verdana"/>
          <w:sz w:val="20"/>
          <w:szCs w:val="20"/>
        </w:rPr>
        <w:t xml:space="preserve">Informationsasymmetrien (z.B. </w:t>
      </w:r>
      <w:proofErr w:type="spellStart"/>
      <w:r w:rsidRPr="00504E2C">
        <w:rPr>
          <w:rFonts w:ascii="Verdana" w:hAnsi="Verdana"/>
          <w:sz w:val="20"/>
          <w:szCs w:val="20"/>
        </w:rPr>
        <w:t>Akerlof</w:t>
      </w:r>
      <w:proofErr w:type="spellEnd"/>
      <w:r w:rsidRPr="00504E2C">
        <w:rPr>
          <w:rFonts w:ascii="Verdana" w:hAnsi="Verdana"/>
          <w:sz w:val="20"/>
          <w:szCs w:val="20"/>
        </w:rPr>
        <w:t xml:space="preserve"> 1970 „The Market </w:t>
      </w:r>
      <w:proofErr w:type="spellStart"/>
      <w:r w:rsidRPr="00504E2C">
        <w:rPr>
          <w:rFonts w:ascii="Verdana" w:hAnsi="Verdana"/>
          <w:sz w:val="20"/>
          <w:szCs w:val="20"/>
        </w:rPr>
        <w:t>for</w:t>
      </w:r>
      <w:proofErr w:type="spellEnd"/>
      <w:r w:rsidRPr="00504E2C">
        <w:rPr>
          <w:rFonts w:ascii="Verdana" w:hAnsi="Verdana"/>
          <w:sz w:val="20"/>
          <w:szCs w:val="20"/>
        </w:rPr>
        <w:t xml:space="preserve"> </w:t>
      </w:r>
      <w:proofErr w:type="spellStart"/>
      <w:r w:rsidRPr="00504E2C">
        <w:rPr>
          <w:rFonts w:ascii="Verdana" w:hAnsi="Verdana"/>
          <w:sz w:val="20"/>
          <w:szCs w:val="20"/>
        </w:rPr>
        <w:t>Lemons</w:t>
      </w:r>
      <w:proofErr w:type="spellEnd"/>
      <w:r w:rsidRPr="00504E2C">
        <w:rPr>
          <w:rFonts w:ascii="Verdana" w:hAnsi="Verdana"/>
          <w:sz w:val="20"/>
          <w:szCs w:val="20"/>
        </w:rPr>
        <w:t xml:space="preserve">“) -&gt; Nobelpreis 2001 (George A. </w:t>
      </w:r>
      <w:proofErr w:type="spellStart"/>
      <w:r w:rsidRPr="00504E2C">
        <w:rPr>
          <w:rFonts w:ascii="Verdana" w:hAnsi="Verdana"/>
          <w:sz w:val="20"/>
          <w:szCs w:val="20"/>
        </w:rPr>
        <w:t>Akerlof</w:t>
      </w:r>
      <w:proofErr w:type="spellEnd"/>
      <w:r w:rsidRPr="00504E2C">
        <w:rPr>
          <w:rFonts w:ascii="Verdana" w:hAnsi="Verdana"/>
          <w:sz w:val="20"/>
          <w:szCs w:val="20"/>
        </w:rPr>
        <w:t xml:space="preserve">, Joseph </w:t>
      </w:r>
      <w:proofErr w:type="spellStart"/>
      <w:r w:rsidRPr="00504E2C">
        <w:rPr>
          <w:rFonts w:ascii="Verdana" w:hAnsi="Verdana"/>
          <w:sz w:val="20"/>
          <w:szCs w:val="20"/>
        </w:rPr>
        <w:t>Stiglitz</w:t>
      </w:r>
      <w:proofErr w:type="spellEnd"/>
      <w:r w:rsidRPr="00504E2C">
        <w:rPr>
          <w:rFonts w:ascii="Verdana" w:hAnsi="Verdana"/>
          <w:sz w:val="20"/>
          <w:szCs w:val="20"/>
        </w:rPr>
        <w:t xml:space="preserve">, Michael Spence) </w:t>
      </w:r>
    </w:p>
    <w:p w:rsidR="00504E2C" w:rsidRPr="00504E2C" w:rsidRDefault="00504E2C" w:rsidP="00504E2C">
      <w:pPr>
        <w:pStyle w:val="KeinLeerraum"/>
        <w:rPr>
          <w:rFonts w:ascii="Verdana" w:hAnsi="Verdana"/>
          <w:sz w:val="20"/>
          <w:szCs w:val="20"/>
        </w:rPr>
      </w:pPr>
      <w:r w:rsidRPr="00504E2C">
        <w:rPr>
          <w:rFonts w:ascii="Verdana" w:hAnsi="Verdana"/>
          <w:sz w:val="20"/>
          <w:szCs w:val="20"/>
        </w:rPr>
        <w:sym w:font="Wingdings" w:char="F0E0"/>
      </w:r>
      <w:r w:rsidRPr="00504E2C">
        <w:rPr>
          <w:rFonts w:ascii="Verdana" w:hAnsi="Verdana"/>
          <w:sz w:val="20"/>
          <w:szCs w:val="20"/>
        </w:rPr>
        <w:t>Rigiditäten von Preisen und Löhnen</w:t>
      </w:r>
      <w:r>
        <w:rPr>
          <w:rFonts w:ascii="Verdana" w:hAnsi="Verdana"/>
          <w:sz w:val="20"/>
          <w:szCs w:val="20"/>
        </w:rPr>
        <w:t xml:space="preserve"> (</w:t>
      </w:r>
      <w:proofErr w:type="spellStart"/>
      <w:r>
        <w:rPr>
          <w:rFonts w:ascii="Verdana" w:hAnsi="Verdana"/>
          <w:sz w:val="20"/>
          <w:szCs w:val="20"/>
        </w:rPr>
        <w:t>sticky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prices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sticky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wages</w:t>
      </w:r>
      <w:proofErr w:type="spellEnd"/>
      <w:r>
        <w:rPr>
          <w:rFonts w:ascii="Verdana" w:hAnsi="Verdana"/>
          <w:sz w:val="20"/>
          <w:szCs w:val="20"/>
        </w:rPr>
        <w:t xml:space="preserve">) </w:t>
      </w:r>
    </w:p>
    <w:p w:rsidR="00504E2C" w:rsidRPr="00504E2C" w:rsidRDefault="00504E2C" w:rsidP="00504E2C">
      <w:pPr>
        <w:pStyle w:val="KeinLeerraum"/>
        <w:rPr>
          <w:rFonts w:ascii="Verdana" w:hAnsi="Verdana"/>
          <w:sz w:val="20"/>
          <w:szCs w:val="20"/>
        </w:rPr>
      </w:pPr>
      <w:r w:rsidRPr="00504E2C">
        <w:rPr>
          <w:rFonts w:ascii="Verdana" w:hAnsi="Verdana"/>
          <w:sz w:val="20"/>
          <w:szCs w:val="20"/>
        </w:rPr>
        <w:sym w:font="Wingdings" w:char="F0E0"/>
      </w:r>
      <w:r w:rsidRPr="00504E2C">
        <w:rPr>
          <w:rFonts w:ascii="Verdana" w:hAnsi="Verdana"/>
          <w:sz w:val="20"/>
          <w:szCs w:val="20"/>
        </w:rPr>
        <w:t xml:space="preserve">Schlussfolgerung: Geldpolitik langfristig neutral, kurzfristig aber wirksam </w:t>
      </w:r>
    </w:p>
    <w:p w:rsidR="00504E2C" w:rsidRDefault="00504E2C" w:rsidP="00410706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G</w:t>
      </w:r>
      <w:r w:rsidRPr="00504E2C">
        <w:rPr>
          <w:rFonts w:ascii="Verdana" w:hAnsi="Verdana"/>
          <w:sz w:val="20"/>
          <w:szCs w:val="20"/>
        </w:rPr>
        <w:t>enerelles Keynesianismus-Revival se</w:t>
      </w:r>
      <w:r>
        <w:rPr>
          <w:rFonts w:ascii="Verdana" w:hAnsi="Verdana"/>
          <w:sz w:val="20"/>
          <w:szCs w:val="20"/>
        </w:rPr>
        <w:t xml:space="preserve">it 2008/09 (Paul </w:t>
      </w:r>
      <w:proofErr w:type="spellStart"/>
      <w:r>
        <w:rPr>
          <w:rFonts w:ascii="Verdana" w:hAnsi="Verdana"/>
          <w:sz w:val="20"/>
          <w:szCs w:val="20"/>
        </w:rPr>
        <w:t>Krugman</w:t>
      </w:r>
      <w:proofErr w:type="spellEnd"/>
      <w:r>
        <w:rPr>
          <w:rFonts w:ascii="Verdana" w:hAnsi="Verdana"/>
          <w:sz w:val="20"/>
          <w:szCs w:val="20"/>
        </w:rPr>
        <w:t xml:space="preserve"> u.a.).</w:t>
      </w:r>
    </w:p>
    <w:p w:rsidR="00504E2C" w:rsidRDefault="00504E2C" w:rsidP="00410706">
      <w:pPr>
        <w:pStyle w:val="KeinLeerraum"/>
        <w:rPr>
          <w:rFonts w:ascii="Verdana" w:hAnsi="Verdana"/>
          <w:sz w:val="20"/>
          <w:szCs w:val="20"/>
        </w:rPr>
      </w:pPr>
    </w:p>
    <w:p w:rsidR="00504E2C" w:rsidRDefault="00504E2C" w:rsidP="00410706">
      <w:pPr>
        <w:pStyle w:val="KeinLeerraum"/>
        <w:rPr>
          <w:rFonts w:ascii="Verdana" w:hAnsi="Verdana"/>
          <w:sz w:val="20"/>
          <w:szCs w:val="20"/>
        </w:rPr>
      </w:pPr>
    </w:p>
    <w:p w:rsidR="00504E2C" w:rsidRPr="00B37D31" w:rsidRDefault="00B37D31" w:rsidP="00504E2C">
      <w:pPr>
        <w:pStyle w:val="KeinLeerraum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8.</w:t>
      </w:r>
      <w:r w:rsidR="00504E2C" w:rsidRPr="00B37D31">
        <w:rPr>
          <w:rFonts w:ascii="Verdana" w:hAnsi="Verdana"/>
          <w:sz w:val="28"/>
          <w:szCs w:val="28"/>
        </w:rPr>
        <w:t xml:space="preserve">4. </w:t>
      </w:r>
      <w:r w:rsidR="00504E2C" w:rsidRPr="00B37D31">
        <w:rPr>
          <w:rFonts w:ascii="Verdana" w:hAnsi="Verdana"/>
          <w:b/>
          <w:sz w:val="28"/>
          <w:szCs w:val="28"/>
          <w:u w:val="single"/>
        </w:rPr>
        <w:t>Neuere Modifikationen der Mikroökonomik</w:t>
      </w:r>
    </w:p>
    <w:p w:rsidR="00504E2C" w:rsidRPr="00504E2C" w:rsidRDefault="00504E2C" w:rsidP="00504E2C">
      <w:pPr>
        <w:pStyle w:val="KeinLeerraum"/>
        <w:rPr>
          <w:rFonts w:ascii="Verdana" w:hAnsi="Verdana"/>
          <w:b/>
          <w:sz w:val="20"/>
          <w:szCs w:val="20"/>
        </w:rPr>
      </w:pPr>
      <w:r w:rsidRPr="00504E2C">
        <w:rPr>
          <w:rFonts w:ascii="Verdana" w:hAnsi="Verdana"/>
          <w:b/>
          <w:sz w:val="20"/>
          <w:szCs w:val="20"/>
        </w:rPr>
        <w:t xml:space="preserve">Institutionenökonomik </w:t>
      </w:r>
    </w:p>
    <w:p w:rsidR="00504E2C" w:rsidRPr="00504E2C" w:rsidRDefault="00504E2C" w:rsidP="00504E2C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„</w:t>
      </w:r>
      <w:r w:rsidRPr="00504E2C">
        <w:rPr>
          <w:rFonts w:ascii="Verdana" w:hAnsi="Verdana"/>
          <w:i/>
          <w:iCs/>
          <w:sz w:val="20"/>
          <w:szCs w:val="20"/>
        </w:rPr>
        <w:t xml:space="preserve">The Nature </w:t>
      </w:r>
      <w:proofErr w:type="spellStart"/>
      <w:r w:rsidRPr="00504E2C">
        <w:rPr>
          <w:rFonts w:ascii="Verdana" w:hAnsi="Verdana"/>
          <w:i/>
          <w:iCs/>
          <w:sz w:val="20"/>
          <w:szCs w:val="20"/>
        </w:rPr>
        <w:t>of</w:t>
      </w:r>
      <w:proofErr w:type="spellEnd"/>
      <w:r w:rsidRPr="00504E2C">
        <w:rPr>
          <w:rFonts w:ascii="Verdana" w:hAnsi="Verdana"/>
          <w:i/>
          <w:iCs/>
          <w:sz w:val="20"/>
          <w:szCs w:val="20"/>
        </w:rPr>
        <w:t xml:space="preserve"> </w:t>
      </w:r>
      <w:proofErr w:type="spellStart"/>
      <w:r w:rsidRPr="00504E2C">
        <w:rPr>
          <w:rFonts w:ascii="Verdana" w:hAnsi="Verdana"/>
          <w:i/>
          <w:iCs/>
          <w:sz w:val="20"/>
          <w:szCs w:val="20"/>
        </w:rPr>
        <w:t>the</w:t>
      </w:r>
      <w:proofErr w:type="spellEnd"/>
      <w:r w:rsidRPr="00504E2C">
        <w:rPr>
          <w:rFonts w:ascii="Verdana" w:hAnsi="Verdana"/>
          <w:i/>
          <w:iCs/>
          <w:sz w:val="20"/>
          <w:szCs w:val="20"/>
        </w:rPr>
        <w:t xml:space="preserve"> Firm</w:t>
      </w:r>
      <w:r w:rsidRPr="00504E2C">
        <w:rPr>
          <w:rFonts w:ascii="Verdana" w:hAnsi="Verdana"/>
          <w:sz w:val="20"/>
          <w:szCs w:val="20"/>
        </w:rPr>
        <w:t xml:space="preserve">” (1937) [!] </w:t>
      </w:r>
    </w:p>
    <w:p w:rsidR="00504E2C" w:rsidRPr="00504E2C" w:rsidRDefault="00504E2C" w:rsidP="00504E2C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Pr="00504E2C">
        <w:rPr>
          <w:rFonts w:ascii="Verdana" w:hAnsi="Verdana"/>
          <w:b/>
          <w:sz w:val="20"/>
          <w:szCs w:val="20"/>
        </w:rPr>
        <w:t xml:space="preserve">Ronald </w:t>
      </w:r>
      <w:proofErr w:type="spellStart"/>
      <w:r w:rsidRPr="00504E2C">
        <w:rPr>
          <w:rFonts w:ascii="Verdana" w:hAnsi="Verdana"/>
          <w:b/>
          <w:sz w:val="20"/>
          <w:szCs w:val="20"/>
        </w:rPr>
        <w:t>Coase</w:t>
      </w:r>
      <w:proofErr w:type="spellEnd"/>
      <w:r w:rsidRPr="00504E2C">
        <w:rPr>
          <w:rFonts w:ascii="Verdana" w:hAnsi="Verdana"/>
          <w:sz w:val="20"/>
          <w:szCs w:val="20"/>
        </w:rPr>
        <w:t xml:space="preserve"> (1910–2013), britischer Ökonom, ab 1951 in den USA (u.a. Chicago); Nobelpreis 1991 </w:t>
      </w:r>
    </w:p>
    <w:p w:rsidR="00504E2C" w:rsidRPr="00504E2C" w:rsidRDefault="00504E2C" w:rsidP="00504E2C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Pr="00504E2C">
        <w:rPr>
          <w:rFonts w:ascii="Verdana" w:hAnsi="Verdana"/>
          <w:sz w:val="20"/>
          <w:szCs w:val="20"/>
        </w:rPr>
        <w:t xml:space="preserve">Warum existieren Unternehmen, warum nicht alles Wirtschaften marktvermittelt? </w:t>
      </w:r>
    </w:p>
    <w:p w:rsidR="00504E2C" w:rsidRPr="00504E2C" w:rsidRDefault="00504E2C" w:rsidP="00504E2C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Pr="00504E2C">
        <w:rPr>
          <w:rFonts w:ascii="Verdana" w:hAnsi="Verdana"/>
          <w:sz w:val="20"/>
          <w:szCs w:val="20"/>
        </w:rPr>
        <w:t xml:space="preserve">Marktnutzung verursacht Aufwand: Transaktionskosten </w:t>
      </w:r>
    </w:p>
    <w:p w:rsidR="00504E2C" w:rsidRPr="00504E2C" w:rsidRDefault="00504E2C" w:rsidP="00504E2C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Pr="00504E2C">
        <w:rPr>
          <w:rFonts w:ascii="Verdana" w:hAnsi="Verdana"/>
          <w:sz w:val="20"/>
          <w:szCs w:val="20"/>
        </w:rPr>
        <w:t xml:space="preserve">Kostenabwägung: Leistung im Unternehmen produzieren oder erwerben? </w:t>
      </w:r>
    </w:p>
    <w:p w:rsidR="00504E2C" w:rsidRPr="00504E2C" w:rsidRDefault="00504E2C" w:rsidP="00504E2C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Pr="00504E2C">
        <w:rPr>
          <w:rFonts w:ascii="Verdana" w:hAnsi="Verdana"/>
          <w:sz w:val="20"/>
          <w:szCs w:val="20"/>
        </w:rPr>
        <w:t xml:space="preserve">Die Grenzen von Unternehmen und Markt verändern sich ständig </w:t>
      </w:r>
    </w:p>
    <w:p w:rsidR="00504E2C" w:rsidRDefault="00504E2C" w:rsidP="00504E2C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Pr="00504E2C">
        <w:rPr>
          <w:rFonts w:ascii="Verdana" w:hAnsi="Verdana"/>
          <w:sz w:val="20"/>
          <w:szCs w:val="20"/>
        </w:rPr>
        <w:t xml:space="preserve">Lange unbeachtet; Weiterentwicklung des Ansatzes ab den 1970ern Jahren -&gt; NP 2009 für </w:t>
      </w:r>
      <w:r w:rsidRPr="00504E2C">
        <w:rPr>
          <w:rFonts w:ascii="Verdana" w:hAnsi="Verdana"/>
          <w:b/>
          <w:sz w:val="20"/>
          <w:szCs w:val="20"/>
        </w:rPr>
        <w:t>Oliver E. Williamson</w:t>
      </w:r>
      <w:r w:rsidRPr="00504E2C">
        <w:rPr>
          <w:rFonts w:ascii="Verdana" w:hAnsi="Verdana"/>
          <w:sz w:val="20"/>
          <w:szCs w:val="20"/>
        </w:rPr>
        <w:t xml:space="preserve"> (*1932) und </w:t>
      </w:r>
      <w:r w:rsidRPr="00504E2C">
        <w:rPr>
          <w:rFonts w:ascii="Verdana" w:hAnsi="Verdana"/>
          <w:b/>
          <w:sz w:val="20"/>
          <w:szCs w:val="20"/>
        </w:rPr>
        <w:t>Elinor Ostrom</w:t>
      </w:r>
      <w:r w:rsidRPr="00504E2C">
        <w:rPr>
          <w:rFonts w:ascii="Verdana" w:hAnsi="Verdana"/>
          <w:sz w:val="20"/>
          <w:szCs w:val="20"/>
        </w:rPr>
        <w:t xml:space="preserve"> (1933–2012) -&gt; auch NP 1993 für </w:t>
      </w:r>
      <w:r w:rsidRPr="00504E2C">
        <w:rPr>
          <w:rFonts w:ascii="Verdana" w:hAnsi="Verdana"/>
          <w:b/>
          <w:sz w:val="20"/>
          <w:szCs w:val="20"/>
        </w:rPr>
        <w:t>Douglass C. North</w:t>
      </w:r>
      <w:r w:rsidRPr="00504E2C">
        <w:rPr>
          <w:rFonts w:ascii="Verdana" w:hAnsi="Verdana"/>
          <w:sz w:val="20"/>
          <w:szCs w:val="20"/>
        </w:rPr>
        <w:t xml:space="preserve"> (1920–2015) z.T. au</w:t>
      </w:r>
      <w:r>
        <w:rPr>
          <w:rFonts w:ascii="Verdana" w:hAnsi="Verdana"/>
          <w:sz w:val="20"/>
          <w:szCs w:val="20"/>
        </w:rPr>
        <w:t>f IÖ bezogen.</w:t>
      </w:r>
    </w:p>
    <w:p w:rsidR="00B37D31" w:rsidRPr="00B37D31" w:rsidRDefault="00B37D31" w:rsidP="00B37D31">
      <w:pPr>
        <w:pStyle w:val="KeinLeerraum"/>
        <w:rPr>
          <w:rFonts w:ascii="Verdana" w:hAnsi="Verdana"/>
          <w:sz w:val="20"/>
          <w:szCs w:val="20"/>
        </w:rPr>
      </w:pPr>
      <w:r w:rsidRPr="00B37D31">
        <w:rPr>
          <w:rFonts w:ascii="Verdana" w:hAnsi="Verdana"/>
          <w:b/>
          <w:sz w:val="20"/>
          <w:szCs w:val="20"/>
        </w:rPr>
        <w:t>Gegenstand</w:t>
      </w:r>
      <w:r w:rsidRPr="00B37D31">
        <w:rPr>
          <w:rFonts w:ascii="Verdana" w:hAnsi="Verdana"/>
          <w:sz w:val="20"/>
          <w:szCs w:val="20"/>
        </w:rPr>
        <w:t xml:space="preserve">: Rolle gesellschaftlicher Institutionen (= Regel- und Normensysteme, „Spielregeln“) für die Wirtschaft </w:t>
      </w:r>
    </w:p>
    <w:p w:rsidR="00B37D31" w:rsidRPr="00B37D31" w:rsidRDefault="00B37D31" w:rsidP="00B37D31">
      <w:pPr>
        <w:pStyle w:val="KeinLeerraum"/>
        <w:rPr>
          <w:rFonts w:ascii="Verdana" w:hAnsi="Verdana"/>
          <w:sz w:val="20"/>
          <w:szCs w:val="20"/>
        </w:rPr>
      </w:pPr>
      <w:r w:rsidRPr="00B37D31">
        <w:rPr>
          <w:rFonts w:ascii="Verdana" w:hAnsi="Verdana"/>
          <w:b/>
          <w:sz w:val="20"/>
          <w:szCs w:val="20"/>
        </w:rPr>
        <w:t>Vorläufer</w:t>
      </w:r>
      <w:r w:rsidRPr="00B37D31">
        <w:rPr>
          <w:rFonts w:ascii="Verdana" w:hAnsi="Verdana"/>
          <w:sz w:val="20"/>
          <w:szCs w:val="20"/>
        </w:rPr>
        <w:t xml:space="preserve">: Historische Schule und ältere US-Institutionenökonomik; Neue Institutionenökonomik ab 1970er, ohne konkrete Rückbezüge </w:t>
      </w:r>
    </w:p>
    <w:p w:rsidR="00B37D31" w:rsidRPr="00B37D31" w:rsidRDefault="00B37D31" w:rsidP="00B37D31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D</w:t>
      </w:r>
      <w:r w:rsidRPr="00B37D31">
        <w:rPr>
          <w:rFonts w:ascii="Verdana" w:hAnsi="Verdana"/>
          <w:sz w:val="20"/>
          <w:szCs w:val="20"/>
        </w:rPr>
        <w:t xml:space="preserve">rei Hauptkomponenten: </w:t>
      </w:r>
      <w:r>
        <w:rPr>
          <w:rFonts w:ascii="Verdana" w:hAnsi="Verdana"/>
          <w:sz w:val="20"/>
          <w:szCs w:val="20"/>
        </w:rPr>
        <w:t xml:space="preserve">(1) </w:t>
      </w:r>
      <w:r w:rsidRPr="00B37D31">
        <w:rPr>
          <w:rFonts w:ascii="Verdana" w:hAnsi="Verdana"/>
          <w:sz w:val="20"/>
          <w:szCs w:val="20"/>
        </w:rPr>
        <w:t>Transaktionskostentheorie</w:t>
      </w:r>
      <w:r>
        <w:rPr>
          <w:rFonts w:ascii="Verdana" w:hAnsi="Verdana"/>
          <w:sz w:val="20"/>
          <w:szCs w:val="20"/>
        </w:rPr>
        <w:t xml:space="preserve">; (2) </w:t>
      </w:r>
      <w:r w:rsidRPr="00B37D31">
        <w:rPr>
          <w:rFonts w:ascii="Verdana" w:hAnsi="Verdana"/>
          <w:sz w:val="20"/>
          <w:szCs w:val="20"/>
        </w:rPr>
        <w:t xml:space="preserve">Theorie der Property </w:t>
      </w:r>
      <w:proofErr w:type="spellStart"/>
      <w:r w:rsidRPr="00B37D31">
        <w:rPr>
          <w:rFonts w:ascii="Verdana" w:hAnsi="Verdana"/>
          <w:sz w:val="20"/>
          <w:szCs w:val="20"/>
        </w:rPr>
        <w:t>Rights</w:t>
      </w:r>
      <w:proofErr w:type="spellEnd"/>
      <w:r w:rsidRPr="00B37D31">
        <w:rPr>
          <w:rFonts w:ascii="Verdana" w:hAnsi="Verdana"/>
          <w:sz w:val="20"/>
          <w:szCs w:val="20"/>
        </w:rPr>
        <w:t xml:space="preserve"> (Verfügungsrechte)</w:t>
      </w:r>
      <w:r>
        <w:rPr>
          <w:rFonts w:ascii="Verdana" w:hAnsi="Verdana"/>
          <w:sz w:val="20"/>
          <w:szCs w:val="20"/>
        </w:rPr>
        <w:t>;</w:t>
      </w:r>
      <w:r w:rsidRPr="00B37D3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(3) </w:t>
      </w:r>
      <w:proofErr w:type="spellStart"/>
      <w:r>
        <w:rPr>
          <w:rFonts w:ascii="Verdana" w:hAnsi="Verdana"/>
          <w:sz w:val="20"/>
          <w:szCs w:val="20"/>
        </w:rPr>
        <w:t>Principal</w:t>
      </w:r>
      <w:proofErr w:type="spellEnd"/>
      <w:r>
        <w:rPr>
          <w:rFonts w:ascii="Verdana" w:hAnsi="Verdana"/>
          <w:sz w:val="20"/>
          <w:szCs w:val="20"/>
        </w:rPr>
        <w:t>-Agent-</w:t>
      </w:r>
      <w:proofErr w:type="spellStart"/>
      <w:r>
        <w:rPr>
          <w:rFonts w:ascii="Verdana" w:hAnsi="Verdana"/>
          <w:sz w:val="20"/>
          <w:szCs w:val="20"/>
        </w:rPr>
        <w:t>Theory</w:t>
      </w:r>
      <w:proofErr w:type="spellEnd"/>
      <w:r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lastRenderedPageBreak/>
        <w:t xml:space="preserve">- </w:t>
      </w:r>
      <w:r w:rsidRPr="00B37D31">
        <w:rPr>
          <w:rFonts w:ascii="Verdana" w:hAnsi="Verdana"/>
          <w:sz w:val="20"/>
          <w:szCs w:val="20"/>
        </w:rPr>
        <w:t xml:space="preserve">Institutionen strukturieren wirtschaftliches Handeln (Ist eine Handlung möglich und wenn ja, zu welchen Kosten?) und verringern Unsicherheiten </w:t>
      </w:r>
    </w:p>
    <w:p w:rsidR="00B37D31" w:rsidRPr="00B37D31" w:rsidRDefault="00B37D31" w:rsidP="00B37D31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Pr="00B37D31">
        <w:rPr>
          <w:rFonts w:ascii="Verdana" w:hAnsi="Verdana"/>
          <w:sz w:val="20"/>
          <w:szCs w:val="20"/>
        </w:rPr>
        <w:t xml:space="preserve">Wirtschaftlicher Wandel als Anpassungsprozess der Institutionenstruktur (-&gt; Wirtschaftsgeschichte!) </w:t>
      </w:r>
    </w:p>
    <w:p w:rsidR="00B37D31" w:rsidRDefault="00B37D31" w:rsidP="00504E2C">
      <w:pPr>
        <w:pStyle w:val="KeinLeerraum"/>
        <w:rPr>
          <w:rFonts w:ascii="Verdana" w:hAnsi="Verdana"/>
          <w:sz w:val="20"/>
          <w:szCs w:val="20"/>
        </w:rPr>
      </w:pPr>
    </w:p>
    <w:p w:rsidR="00504E2C" w:rsidRDefault="00504E2C" w:rsidP="00504E2C">
      <w:pPr>
        <w:pStyle w:val="KeinLeerraum"/>
        <w:rPr>
          <w:rFonts w:ascii="Verdana" w:hAnsi="Verdana"/>
          <w:sz w:val="20"/>
          <w:szCs w:val="20"/>
        </w:rPr>
      </w:pPr>
    </w:p>
    <w:p w:rsidR="00B37D31" w:rsidRDefault="00B37D31" w:rsidP="00504E2C">
      <w:pPr>
        <w:pStyle w:val="KeinLeerraum"/>
        <w:rPr>
          <w:rFonts w:ascii="Verdana" w:hAnsi="Verdana"/>
          <w:sz w:val="20"/>
          <w:szCs w:val="20"/>
        </w:rPr>
      </w:pPr>
    </w:p>
    <w:p w:rsidR="00B37D31" w:rsidRDefault="00B37D31" w:rsidP="00504E2C">
      <w:pPr>
        <w:pStyle w:val="KeinLeerraum"/>
        <w:rPr>
          <w:rFonts w:ascii="Verdana" w:hAnsi="Verdana"/>
          <w:sz w:val="20"/>
          <w:szCs w:val="20"/>
        </w:rPr>
      </w:pPr>
    </w:p>
    <w:p w:rsidR="00B37D31" w:rsidRPr="00B37D31" w:rsidRDefault="00B37D31" w:rsidP="00B37D31">
      <w:pPr>
        <w:pStyle w:val="KeinLeerraum"/>
        <w:rPr>
          <w:rFonts w:ascii="Verdana" w:hAnsi="Verdana"/>
          <w:b/>
          <w:sz w:val="20"/>
          <w:szCs w:val="20"/>
          <w:u w:val="single"/>
        </w:rPr>
      </w:pPr>
      <w:r w:rsidRPr="00B37D31">
        <w:rPr>
          <w:rFonts w:ascii="Verdana" w:hAnsi="Verdana"/>
          <w:b/>
          <w:sz w:val="20"/>
          <w:szCs w:val="20"/>
          <w:u w:val="single"/>
        </w:rPr>
        <w:t xml:space="preserve">Spieltheorie </w:t>
      </w:r>
    </w:p>
    <w:p w:rsidR="00B37D31" w:rsidRPr="00B37D31" w:rsidRDefault="00B37D31" w:rsidP="00B37D31">
      <w:pPr>
        <w:pStyle w:val="KeinLeerraum"/>
        <w:rPr>
          <w:rFonts w:ascii="Verdana" w:hAnsi="Verdana"/>
          <w:sz w:val="20"/>
          <w:szCs w:val="20"/>
        </w:rPr>
      </w:pPr>
      <w:r w:rsidRPr="00B37D31">
        <w:rPr>
          <w:rFonts w:ascii="Verdana" w:hAnsi="Verdana"/>
          <w:sz w:val="20"/>
          <w:szCs w:val="20"/>
        </w:rPr>
        <w:t>„</w:t>
      </w:r>
      <w:proofErr w:type="spellStart"/>
      <w:r w:rsidRPr="00B37D31">
        <w:rPr>
          <w:rFonts w:ascii="Verdana" w:hAnsi="Verdana"/>
          <w:i/>
          <w:iCs/>
          <w:sz w:val="20"/>
          <w:szCs w:val="20"/>
        </w:rPr>
        <w:t>Theory</w:t>
      </w:r>
      <w:proofErr w:type="spellEnd"/>
      <w:r w:rsidRPr="00B37D31">
        <w:rPr>
          <w:rFonts w:ascii="Verdana" w:hAnsi="Verdana"/>
          <w:i/>
          <w:iCs/>
          <w:sz w:val="20"/>
          <w:szCs w:val="20"/>
        </w:rPr>
        <w:t xml:space="preserve"> </w:t>
      </w:r>
      <w:proofErr w:type="spellStart"/>
      <w:r w:rsidRPr="00B37D31">
        <w:rPr>
          <w:rFonts w:ascii="Verdana" w:hAnsi="Verdana"/>
          <w:i/>
          <w:iCs/>
          <w:sz w:val="20"/>
          <w:szCs w:val="20"/>
        </w:rPr>
        <w:t>of</w:t>
      </w:r>
      <w:proofErr w:type="spellEnd"/>
      <w:r w:rsidRPr="00B37D31">
        <w:rPr>
          <w:rFonts w:ascii="Verdana" w:hAnsi="Verdana"/>
          <w:i/>
          <w:iCs/>
          <w:sz w:val="20"/>
          <w:szCs w:val="20"/>
        </w:rPr>
        <w:t xml:space="preserve"> Games </w:t>
      </w:r>
      <w:proofErr w:type="spellStart"/>
      <w:r w:rsidRPr="00B37D31">
        <w:rPr>
          <w:rFonts w:ascii="Verdana" w:hAnsi="Verdana"/>
          <w:i/>
          <w:iCs/>
          <w:sz w:val="20"/>
          <w:szCs w:val="20"/>
        </w:rPr>
        <w:t>and</w:t>
      </w:r>
      <w:proofErr w:type="spellEnd"/>
      <w:r w:rsidRPr="00B37D31">
        <w:rPr>
          <w:rFonts w:ascii="Verdana" w:hAnsi="Verdana"/>
          <w:i/>
          <w:iCs/>
          <w:sz w:val="20"/>
          <w:szCs w:val="20"/>
        </w:rPr>
        <w:t xml:space="preserve"> </w:t>
      </w:r>
      <w:proofErr w:type="spellStart"/>
      <w:r w:rsidRPr="00B37D31">
        <w:rPr>
          <w:rFonts w:ascii="Verdana" w:hAnsi="Verdana"/>
          <w:i/>
          <w:iCs/>
          <w:sz w:val="20"/>
          <w:szCs w:val="20"/>
        </w:rPr>
        <w:t>Economic</w:t>
      </w:r>
      <w:proofErr w:type="spellEnd"/>
      <w:r w:rsidRPr="00B37D31">
        <w:rPr>
          <w:rFonts w:ascii="Verdana" w:hAnsi="Verdana"/>
          <w:i/>
          <w:iCs/>
          <w:sz w:val="20"/>
          <w:szCs w:val="20"/>
        </w:rPr>
        <w:t xml:space="preserve"> </w:t>
      </w:r>
      <w:proofErr w:type="spellStart"/>
      <w:r w:rsidRPr="00B37D31">
        <w:rPr>
          <w:rFonts w:ascii="Verdana" w:hAnsi="Verdana"/>
          <w:i/>
          <w:iCs/>
          <w:sz w:val="20"/>
          <w:szCs w:val="20"/>
        </w:rPr>
        <w:t>Behavior</w:t>
      </w:r>
      <w:proofErr w:type="spellEnd"/>
      <w:r w:rsidRPr="00B37D31">
        <w:rPr>
          <w:rFonts w:ascii="Verdana" w:hAnsi="Verdana"/>
          <w:sz w:val="20"/>
          <w:szCs w:val="20"/>
        </w:rPr>
        <w:t xml:space="preserve">” (1944) </w:t>
      </w:r>
    </w:p>
    <w:p w:rsidR="00B37D31" w:rsidRPr="00B37D31" w:rsidRDefault="00B37D31" w:rsidP="00B37D31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O</w:t>
      </w:r>
      <w:r w:rsidRPr="00B37D31">
        <w:rPr>
          <w:rFonts w:ascii="Verdana" w:hAnsi="Verdana"/>
          <w:sz w:val="20"/>
          <w:szCs w:val="20"/>
        </w:rPr>
        <w:t>skar Morgenstern (1902–1977), dt.-österreichischer Ökonom (ab 1938 in Princeton); John [</w:t>
      </w:r>
      <w:proofErr w:type="spellStart"/>
      <w:r w:rsidRPr="00B37D31">
        <w:rPr>
          <w:rFonts w:ascii="Verdana" w:hAnsi="Verdana"/>
          <w:sz w:val="20"/>
          <w:szCs w:val="20"/>
        </w:rPr>
        <w:t>János</w:t>
      </w:r>
      <w:proofErr w:type="spellEnd"/>
      <w:r w:rsidRPr="00B37D31">
        <w:rPr>
          <w:rFonts w:ascii="Verdana" w:hAnsi="Verdana"/>
          <w:sz w:val="20"/>
          <w:szCs w:val="20"/>
        </w:rPr>
        <w:t xml:space="preserve">] von Neumann (1903–1957), ungarischer Mathematiker (1926–30/33 in </w:t>
      </w:r>
      <w:proofErr w:type="spellStart"/>
      <w:r w:rsidRPr="00B37D31">
        <w:rPr>
          <w:rFonts w:ascii="Verdana" w:hAnsi="Verdana"/>
          <w:sz w:val="20"/>
          <w:szCs w:val="20"/>
        </w:rPr>
        <w:t>Dtl</w:t>
      </w:r>
      <w:proofErr w:type="spellEnd"/>
      <w:r w:rsidRPr="00B37D31">
        <w:rPr>
          <w:rFonts w:ascii="Verdana" w:hAnsi="Verdana"/>
          <w:sz w:val="20"/>
          <w:szCs w:val="20"/>
        </w:rPr>
        <w:t xml:space="preserve">., dann USA) </w:t>
      </w:r>
    </w:p>
    <w:p w:rsidR="00B37D31" w:rsidRPr="00B37D31" w:rsidRDefault="00B37D31" w:rsidP="00B37D31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Pr="00B37D31">
        <w:rPr>
          <w:rFonts w:ascii="Verdana" w:hAnsi="Verdana"/>
          <w:sz w:val="20"/>
          <w:szCs w:val="20"/>
        </w:rPr>
        <w:t>Theoretisierung strategischen Entscheidungsverhaltens (</w:t>
      </w:r>
      <w:proofErr w:type="spellStart"/>
      <w:r w:rsidRPr="00B37D31">
        <w:rPr>
          <w:rFonts w:ascii="Verdana" w:hAnsi="Verdana"/>
          <w:sz w:val="20"/>
          <w:szCs w:val="20"/>
        </w:rPr>
        <w:t>ursprgl</w:t>
      </w:r>
      <w:proofErr w:type="spellEnd"/>
      <w:r w:rsidRPr="00B37D31">
        <w:rPr>
          <w:rFonts w:ascii="Verdana" w:hAnsi="Verdana"/>
          <w:sz w:val="20"/>
          <w:szCs w:val="20"/>
        </w:rPr>
        <w:t xml:space="preserve">. mit Blick auf Gesellschaftsspiele, Krieg) </w:t>
      </w:r>
    </w:p>
    <w:p w:rsidR="00B37D31" w:rsidRPr="00B37D31" w:rsidRDefault="00B37D31" w:rsidP="00B37D31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Pr="00B37D31">
        <w:rPr>
          <w:rFonts w:ascii="Verdana" w:hAnsi="Verdana"/>
          <w:sz w:val="20"/>
          <w:szCs w:val="20"/>
        </w:rPr>
        <w:t xml:space="preserve">Nicht-kooperative Nullsummen-Spiele mit 2 Personen </w:t>
      </w:r>
    </w:p>
    <w:p w:rsidR="00B37D31" w:rsidRPr="00B37D31" w:rsidRDefault="00B37D31" w:rsidP="00B37D31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Pr="00B37D31">
        <w:rPr>
          <w:rFonts w:ascii="Verdana" w:hAnsi="Verdana"/>
          <w:sz w:val="20"/>
          <w:szCs w:val="20"/>
        </w:rPr>
        <w:t xml:space="preserve">Berechnung von Erwartungswerten, um gewinn- maximierende Entscheidungen zu bestimmen </w:t>
      </w:r>
    </w:p>
    <w:p w:rsidR="00B37D31" w:rsidRDefault="00B37D31" w:rsidP="00B37D31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Pr="00B37D31">
        <w:rPr>
          <w:rFonts w:ascii="Verdana" w:hAnsi="Verdana"/>
          <w:sz w:val="20"/>
          <w:szCs w:val="20"/>
        </w:rPr>
        <w:t xml:space="preserve">Werk begründete Spieltheorie als akademisches Feld </w:t>
      </w:r>
    </w:p>
    <w:p w:rsidR="00B37D31" w:rsidRPr="00B37D31" w:rsidRDefault="00B37D31" w:rsidP="00B37D31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Pr="00B37D31">
        <w:rPr>
          <w:rFonts w:ascii="Verdana" w:hAnsi="Verdana"/>
          <w:sz w:val="20"/>
          <w:szCs w:val="20"/>
        </w:rPr>
        <w:t xml:space="preserve">Formalisierung von rationalen Entscheidungssituationen: welche Mitspieler, welche Optionen, welche Konsequenzen (-&gt; Auszahlungsfunktion) </w:t>
      </w:r>
    </w:p>
    <w:p w:rsidR="00B37D31" w:rsidRPr="00B37D31" w:rsidRDefault="00B37D31" w:rsidP="00B37D31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Pr="00B37D31">
        <w:rPr>
          <w:rFonts w:ascii="Verdana" w:hAnsi="Verdana"/>
          <w:sz w:val="20"/>
          <w:szCs w:val="20"/>
        </w:rPr>
        <w:t xml:space="preserve">Suche nach ‚dominanten‘ Strategien: Lösungen, die individuellen Nutzen unabhängig vom Handeln der anderen Spieler maximieren </w:t>
      </w:r>
    </w:p>
    <w:p w:rsidR="00B37D31" w:rsidRPr="00B37D31" w:rsidRDefault="00B37D31" w:rsidP="00B37D31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Pr="00B37D31">
        <w:rPr>
          <w:rFonts w:ascii="Verdana" w:hAnsi="Verdana"/>
          <w:sz w:val="20"/>
          <w:szCs w:val="20"/>
        </w:rPr>
        <w:t xml:space="preserve">Bei nicht-kooperativen Spielen mit beliebiger Teilnehmerzahl sind beste Strategien für alle Teilnehmer immer bestimmbar (Nash-Gleichgewicht) </w:t>
      </w:r>
    </w:p>
    <w:p w:rsidR="00B37D31" w:rsidRPr="00B37D31" w:rsidRDefault="00B37D31" w:rsidP="00B37D31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Pr="00B37D31">
        <w:rPr>
          <w:rFonts w:ascii="Verdana" w:hAnsi="Verdana"/>
          <w:sz w:val="20"/>
          <w:szCs w:val="20"/>
        </w:rPr>
        <w:t xml:space="preserve">Erweitert Handlungstheorie des </w:t>
      </w:r>
      <w:r w:rsidRPr="00B37D31">
        <w:rPr>
          <w:rFonts w:ascii="Verdana" w:hAnsi="Verdana"/>
          <w:i/>
          <w:iCs/>
          <w:sz w:val="20"/>
          <w:szCs w:val="20"/>
        </w:rPr>
        <w:t>Homo oeconomicus</w:t>
      </w:r>
      <w:r w:rsidRPr="00B37D31">
        <w:rPr>
          <w:rFonts w:ascii="Verdana" w:hAnsi="Verdana"/>
          <w:sz w:val="20"/>
          <w:szCs w:val="20"/>
        </w:rPr>
        <w:t xml:space="preserve">, der seinen Nutzen individuell, unabhängig von anderen Akteuren maximiert </w:t>
      </w:r>
    </w:p>
    <w:p w:rsidR="00B37D31" w:rsidRPr="00B37D31" w:rsidRDefault="00B37D31" w:rsidP="00B37D31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Pr="00B37D31">
        <w:rPr>
          <w:rFonts w:ascii="Verdana" w:hAnsi="Verdana"/>
          <w:sz w:val="20"/>
          <w:szCs w:val="20"/>
        </w:rPr>
        <w:t xml:space="preserve">Klassische Probleme: Gefangenendilemma, </w:t>
      </w:r>
      <w:proofErr w:type="spellStart"/>
      <w:r w:rsidRPr="00B37D31">
        <w:rPr>
          <w:rFonts w:ascii="Verdana" w:hAnsi="Verdana"/>
          <w:sz w:val="20"/>
          <w:szCs w:val="20"/>
        </w:rPr>
        <w:t>Hotellings</w:t>
      </w:r>
      <w:proofErr w:type="spellEnd"/>
      <w:r w:rsidRPr="00B37D31">
        <w:rPr>
          <w:rFonts w:ascii="Verdana" w:hAnsi="Verdana"/>
          <w:sz w:val="20"/>
          <w:szCs w:val="20"/>
        </w:rPr>
        <w:t xml:space="preserve"> Gesetz, Ultimatums- und </w:t>
      </w:r>
      <w:proofErr w:type="spellStart"/>
      <w:r w:rsidRPr="00B37D31">
        <w:rPr>
          <w:rFonts w:ascii="Verdana" w:hAnsi="Verdana"/>
          <w:sz w:val="20"/>
          <w:szCs w:val="20"/>
        </w:rPr>
        <w:t>Diktatorspiel</w:t>
      </w:r>
      <w:proofErr w:type="spellEnd"/>
      <w:r w:rsidRPr="00B37D31">
        <w:rPr>
          <w:rFonts w:ascii="Verdana" w:hAnsi="Verdana"/>
          <w:sz w:val="20"/>
          <w:szCs w:val="20"/>
        </w:rPr>
        <w:t xml:space="preserve">, Tragik der Allmende (CC–PP Game) </w:t>
      </w:r>
    </w:p>
    <w:p w:rsidR="00B37D31" w:rsidRDefault="00B37D31" w:rsidP="00B37D31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Pr="00B37D31">
        <w:rPr>
          <w:rFonts w:ascii="Verdana" w:hAnsi="Verdana"/>
          <w:sz w:val="20"/>
          <w:szCs w:val="20"/>
        </w:rPr>
        <w:t xml:space="preserve">Sehr breite Anwendung in Wirtschaftswissenschaften, Politik, etc. </w:t>
      </w:r>
    </w:p>
    <w:p w:rsidR="00B37D31" w:rsidRDefault="00B37D31" w:rsidP="00B37D31">
      <w:pPr>
        <w:pStyle w:val="KeinLeerraum"/>
        <w:rPr>
          <w:rFonts w:ascii="Verdana" w:hAnsi="Verdana"/>
          <w:sz w:val="20"/>
          <w:szCs w:val="20"/>
        </w:rPr>
      </w:pPr>
    </w:p>
    <w:p w:rsidR="00B37D31" w:rsidRPr="00B37D31" w:rsidRDefault="00B37D31" w:rsidP="00B37D31">
      <w:pPr>
        <w:pStyle w:val="KeinLeerraum"/>
        <w:rPr>
          <w:rFonts w:ascii="Verdana" w:hAnsi="Verdana"/>
          <w:b/>
          <w:sz w:val="20"/>
          <w:szCs w:val="20"/>
        </w:rPr>
      </w:pPr>
      <w:r w:rsidRPr="00B37D31">
        <w:rPr>
          <w:rFonts w:ascii="Verdana" w:hAnsi="Verdana"/>
          <w:b/>
          <w:sz w:val="20"/>
          <w:szCs w:val="20"/>
        </w:rPr>
        <w:t xml:space="preserve">Verhaltens- und Experimentalökonomik </w:t>
      </w:r>
    </w:p>
    <w:p w:rsidR="00B37D31" w:rsidRPr="00B37D31" w:rsidRDefault="00B37D31" w:rsidP="00B37D31">
      <w:pPr>
        <w:pStyle w:val="KeinLeerraum"/>
        <w:rPr>
          <w:rFonts w:ascii="Verdana" w:hAnsi="Verdana"/>
          <w:sz w:val="20"/>
          <w:szCs w:val="20"/>
        </w:rPr>
      </w:pPr>
      <w:r w:rsidRPr="00B37D31">
        <w:rPr>
          <w:rFonts w:ascii="Verdana" w:hAnsi="Verdana"/>
          <w:sz w:val="20"/>
          <w:szCs w:val="20"/>
        </w:rPr>
        <w:t>„</w:t>
      </w:r>
      <w:proofErr w:type="spellStart"/>
      <w:r w:rsidRPr="00B37D31">
        <w:rPr>
          <w:rFonts w:ascii="Verdana" w:hAnsi="Verdana"/>
          <w:i/>
          <w:iCs/>
          <w:sz w:val="20"/>
          <w:szCs w:val="20"/>
        </w:rPr>
        <w:t>Prospect</w:t>
      </w:r>
      <w:proofErr w:type="spellEnd"/>
      <w:r w:rsidRPr="00B37D31">
        <w:rPr>
          <w:rFonts w:ascii="Verdana" w:hAnsi="Verdana"/>
          <w:i/>
          <w:iCs/>
          <w:sz w:val="20"/>
          <w:szCs w:val="20"/>
        </w:rPr>
        <w:t xml:space="preserve"> </w:t>
      </w:r>
      <w:proofErr w:type="spellStart"/>
      <w:r w:rsidRPr="00B37D31">
        <w:rPr>
          <w:rFonts w:ascii="Verdana" w:hAnsi="Verdana"/>
          <w:i/>
          <w:iCs/>
          <w:sz w:val="20"/>
          <w:szCs w:val="20"/>
        </w:rPr>
        <w:t>theory</w:t>
      </w:r>
      <w:proofErr w:type="spellEnd"/>
      <w:r w:rsidRPr="00B37D31">
        <w:rPr>
          <w:rFonts w:ascii="Verdana" w:hAnsi="Verdana"/>
          <w:i/>
          <w:iCs/>
          <w:sz w:val="20"/>
          <w:szCs w:val="20"/>
        </w:rPr>
        <w:t xml:space="preserve">: an </w:t>
      </w:r>
      <w:proofErr w:type="spellStart"/>
      <w:r w:rsidRPr="00B37D31">
        <w:rPr>
          <w:rFonts w:ascii="Verdana" w:hAnsi="Verdana"/>
          <w:i/>
          <w:iCs/>
          <w:sz w:val="20"/>
          <w:szCs w:val="20"/>
        </w:rPr>
        <w:t>analysis</w:t>
      </w:r>
      <w:proofErr w:type="spellEnd"/>
      <w:r w:rsidRPr="00B37D31">
        <w:rPr>
          <w:rFonts w:ascii="Verdana" w:hAnsi="Verdana"/>
          <w:i/>
          <w:iCs/>
          <w:sz w:val="20"/>
          <w:szCs w:val="20"/>
        </w:rPr>
        <w:t xml:space="preserve"> </w:t>
      </w:r>
      <w:proofErr w:type="spellStart"/>
      <w:r w:rsidRPr="00B37D31">
        <w:rPr>
          <w:rFonts w:ascii="Verdana" w:hAnsi="Verdana"/>
          <w:i/>
          <w:iCs/>
          <w:sz w:val="20"/>
          <w:szCs w:val="20"/>
        </w:rPr>
        <w:t>of</w:t>
      </w:r>
      <w:proofErr w:type="spellEnd"/>
      <w:r w:rsidRPr="00B37D31">
        <w:rPr>
          <w:rFonts w:ascii="Verdana" w:hAnsi="Verdana"/>
          <w:i/>
          <w:iCs/>
          <w:sz w:val="20"/>
          <w:szCs w:val="20"/>
        </w:rPr>
        <w:t xml:space="preserve"> </w:t>
      </w:r>
      <w:proofErr w:type="spellStart"/>
      <w:r w:rsidRPr="00B37D31">
        <w:rPr>
          <w:rFonts w:ascii="Verdana" w:hAnsi="Verdana"/>
          <w:i/>
          <w:iCs/>
          <w:sz w:val="20"/>
          <w:szCs w:val="20"/>
        </w:rPr>
        <w:t>decision</w:t>
      </w:r>
      <w:proofErr w:type="spellEnd"/>
      <w:r w:rsidRPr="00B37D31">
        <w:rPr>
          <w:rFonts w:ascii="Verdana" w:hAnsi="Verdana"/>
          <w:i/>
          <w:iCs/>
          <w:sz w:val="20"/>
          <w:szCs w:val="20"/>
        </w:rPr>
        <w:t xml:space="preserve"> </w:t>
      </w:r>
      <w:proofErr w:type="spellStart"/>
      <w:r w:rsidRPr="00B37D31">
        <w:rPr>
          <w:rFonts w:ascii="Verdana" w:hAnsi="Verdana"/>
          <w:i/>
          <w:iCs/>
          <w:sz w:val="20"/>
          <w:szCs w:val="20"/>
        </w:rPr>
        <w:t>under</w:t>
      </w:r>
      <w:proofErr w:type="spellEnd"/>
      <w:r w:rsidRPr="00B37D31">
        <w:rPr>
          <w:rFonts w:ascii="Verdana" w:hAnsi="Verdana"/>
          <w:i/>
          <w:iCs/>
          <w:sz w:val="20"/>
          <w:szCs w:val="20"/>
        </w:rPr>
        <w:t xml:space="preserve"> </w:t>
      </w:r>
      <w:proofErr w:type="spellStart"/>
      <w:r w:rsidRPr="00B37D31">
        <w:rPr>
          <w:rFonts w:ascii="Verdana" w:hAnsi="Verdana"/>
          <w:i/>
          <w:iCs/>
          <w:sz w:val="20"/>
          <w:szCs w:val="20"/>
        </w:rPr>
        <w:t>risk</w:t>
      </w:r>
      <w:proofErr w:type="spellEnd"/>
      <w:r w:rsidRPr="00B37D31">
        <w:rPr>
          <w:rFonts w:ascii="Verdana" w:hAnsi="Verdana"/>
          <w:sz w:val="20"/>
          <w:szCs w:val="20"/>
        </w:rPr>
        <w:t xml:space="preserve">” (1979) </w:t>
      </w:r>
    </w:p>
    <w:p w:rsidR="00B37D31" w:rsidRPr="00B37D31" w:rsidRDefault="00B37D31" w:rsidP="00B37D31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Pr="00B37D31">
        <w:rPr>
          <w:rFonts w:ascii="Verdana" w:hAnsi="Verdana"/>
          <w:b/>
          <w:sz w:val="20"/>
          <w:szCs w:val="20"/>
        </w:rPr>
        <w:t xml:space="preserve">Daniel </w:t>
      </w:r>
      <w:proofErr w:type="spellStart"/>
      <w:r w:rsidRPr="00B37D31">
        <w:rPr>
          <w:rFonts w:ascii="Verdana" w:hAnsi="Verdana"/>
          <w:b/>
          <w:sz w:val="20"/>
          <w:szCs w:val="20"/>
        </w:rPr>
        <w:t>Kahneman</w:t>
      </w:r>
      <w:proofErr w:type="spellEnd"/>
      <w:r w:rsidRPr="00B37D31">
        <w:rPr>
          <w:rFonts w:ascii="Verdana" w:hAnsi="Verdana"/>
          <w:sz w:val="20"/>
          <w:szCs w:val="20"/>
        </w:rPr>
        <w:t xml:space="preserve"> (geb. 1934), israelischer Psychologie (ab 1978 in Kanad</w:t>
      </w:r>
      <w:r>
        <w:rPr>
          <w:rFonts w:ascii="Verdana" w:hAnsi="Verdana"/>
          <w:sz w:val="20"/>
          <w:szCs w:val="20"/>
        </w:rPr>
        <w:t>a und den USA; Nobelpreis 2002)</w:t>
      </w:r>
      <w:r>
        <w:rPr>
          <w:rFonts w:ascii="Verdana" w:hAnsi="Verdana"/>
          <w:sz w:val="20"/>
          <w:szCs w:val="20"/>
        </w:rPr>
        <w:br/>
        <w:t xml:space="preserve">- </w:t>
      </w:r>
      <w:r w:rsidRPr="00B37D31">
        <w:rPr>
          <w:rFonts w:ascii="Verdana" w:hAnsi="Verdana"/>
          <w:b/>
          <w:sz w:val="20"/>
          <w:szCs w:val="20"/>
        </w:rPr>
        <w:t xml:space="preserve">Amos </w:t>
      </w:r>
      <w:proofErr w:type="spellStart"/>
      <w:r w:rsidRPr="00B37D31">
        <w:rPr>
          <w:rFonts w:ascii="Verdana" w:hAnsi="Verdana"/>
          <w:b/>
          <w:sz w:val="20"/>
          <w:szCs w:val="20"/>
        </w:rPr>
        <w:t>Tversky</w:t>
      </w:r>
      <w:proofErr w:type="spellEnd"/>
      <w:r w:rsidRPr="00B37D31">
        <w:rPr>
          <w:rFonts w:ascii="Verdana" w:hAnsi="Verdana"/>
          <w:sz w:val="20"/>
          <w:szCs w:val="20"/>
        </w:rPr>
        <w:t xml:space="preserve"> (1937–1996), israelischer Psychologe (Dozenturen in Jerusalem und Stanford) </w:t>
      </w:r>
    </w:p>
    <w:p w:rsidR="00B37D31" w:rsidRPr="00B37D31" w:rsidRDefault="00B37D31" w:rsidP="00B37D31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Pr="00B37D31">
        <w:rPr>
          <w:rFonts w:ascii="Verdana" w:hAnsi="Verdana"/>
          <w:sz w:val="20"/>
          <w:szCs w:val="20"/>
        </w:rPr>
        <w:t xml:space="preserve">Neue Erwartungstheorie: Menschen unterliegen kognitiven Verzerrungen im Hinblick auf Gewinn- und Verlusterwartungen </w:t>
      </w:r>
    </w:p>
    <w:p w:rsidR="00B37D31" w:rsidRPr="00B37D31" w:rsidRDefault="00B37D31" w:rsidP="00B37D31">
      <w:pPr>
        <w:pStyle w:val="KeinLeerraum"/>
        <w:rPr>
          <w:rFonts w:ascii="Verdana" w:hAnsi="Verdana"/>
          <w:sz w:val="20"/>
          <w:szCs w:val="20"/>
        </w:rPr>
      </w:pPr>
      <w:r w:rsidRPr="00B37D31">
        <w:rPr>
          <w:rFonts w:ascii="Verdana" w:hAnsi="Verdana"/>
          <w:sz w:val="20"/>
          <w:szCs w:val="20"/>
        </w:rPr>
        <w:t>u.a. Schmerz über einen Verlust stärker als Freude über gleichhohen Gewinn (</w:t>
      </w:r>
      <w:proofErr w:type="spellStart"/>
      <w:r w:rsidRPr="00B37D31">
        <w:rPr>
          <w:rFonts w:ascii="Verdana" w:hAnsi="Verdana"/>
          <w:i/>
          <w:iCs/>
          <w:sz w:val="20"/>
          <w:szCs w:val="20"/>
        </w:rPr>
        <w:t>loss</w:t>
      </w:r>
      <w:proofErr w:type="spellEnd"/>
      <w:r w:rsidRPr="00B37D31">
        <w:rPr>
          <w:rFonts w:ascii="Verdana" w:hAnsi="Verdana"/>
          <w:i/>
          <w:iCs/>
          <w:sz w:val="20"/>
          <w:szCs w:val="20"/>
        </w:rPr>
        <w:t xml:space="preserve"> </w:t>
      </w:r>
      <w:proofErr w:type="spellStart"/>
      <w:r w:rsidRPr="00B37D31">
        <w:rPr>
          <w:rFonts w:ascii="Verdana" w:hAnsi="Verdana"/>
          <w:i/>
          <w:iCs/>
          <w:sz w:val="20"/>
          <w:szCs w:val="20"/>
        </w:rPr>
        <w:t>aversion</w:t>
      </w:r>
      <w:proofErr w:type="spellEnd"/>
      <w:r w:rsidRPr="00B37D31">
        <w:rPr>
          <w:rFonts w:ascii="Verdana" w:hAnsi="Verdana"/>
          <w:sz w:val="20"/>
          <w:szCs w:val="20"/>
        </w:rPr>
        <w:t xml:space="preserve">) </w:t>
      </w:r>
    </w:p>
    <w:p w:rsidR="00B37D31" w:rsidRDefault="00B37D31" w:rsidP="00B37D31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Pr="00B37D31">
        <w:rPr>
          <w:rFonts w:ascii="Verdana" w:hAnsi="Verdana"/>
          <w:sz w:val="20"/>
          <w:szCs w:val="20"/>
        </w:rPr>
        <w:t>Empirisch fe</w:t>
      </w:r>
      <w:r>
        <w:rPr>
          <w:rFonts w:ascii="Verdana" w:hAnsi="Verdana"/>
          <w:sz w:val="20"/>
          <w:szCs w:val="20"/>
        </w:rPr>
        <w:t>ststellbar in Laborexperimenten.</w:t>
      </w:r>
    </w:p>
    <w:p w:rsidR="00B37D31" w:rsidRPr="00B37D31" w:rsidRDefault="00B37D31" w:rsidP="00B37D31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Pr="00B37D31">
        <w:rPr>
          <w:rFonts w:ascii="Verdana" w:hAnsi="Verdana"/>
          <w:sz w:val="20"/>
          <w:szCs w:val="20"/>
        </w:rPr>
        <w:t xml:space="preserve">Suche nach systematischen Abweichungen menschlichen Handelns von erwarteten Entscheidungsschemata eines Homo oeconomicus </w:t>
      </w:r>
    </w:p>
    <w:p w:rsidR="00B37D31" w:rsidRPr="00B37D31" w:rsidRDefault="00B37D31" w:rsidP="00B37D31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Pr="00B37D31">
        <w:rPr>
          <w:rFonts w:ascii="Verdana" w:hAnsi="Verdana"/>
          <w:sz w:val="20"/>
          <w:szCs w:val="20"/>
        </w:rPr>
        <w:t>Hinwendung zu experimenteller Ökonomi</w:t>
      </w:r>
      <w:r>
        <w:rPr>
          <w:rFonts w:ascii="Verdana" w:hAnsi="Verdana"/>
          <w:sz w:val="20"/>
          <w:szCs w:val="20"/>
        </w:rPr>
        <w:t>e: Verhaltensstudien in Laboren</w:t>
      </w:r>
    </w:p>
    <w:p w:rsidR="00B37D31" w:rsidRPr="00B37D31" w:rsidRDefault="00B37D31" w:rsidP="00B37D31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Pr="00B37D31">
        <w:rPr>
          <w:rFonts w:ascii="Verdana" w:hAnsi="Verdana"/>
          <w:sz w:val="20"/>
          <w:szCs w:val="20"/>
        </w:rPr>
        <w:t xml:space="preserve">Beim Design von Experimenten Rückgriff auf Spieltheorie, theoretisches Ergebnis gemäß Spieltheorie als Benchmark </w:t>
      </w:r>
    </w:p>
    <w:p w:rsidR="00B37D31" w:rsidRPr="00B37D31" w:rsidRDefault="00B37D31" w:rsidP="00B37D31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Pr="00B37D31">
        <w:rPr>
          <w:rFonts w:ascii="Verdana" w:hAnsi="Verdana"/>
          <w:sz w:val="20"/>
          <w:szCs w:val="20"/>
        </w:rPr>
        <w:t xml:space="preserve">Neuerdings auch nicht-experimentelle Verhaltensökonomik: Erklärung von Marktanomalien / Interpretation von Marktdaten </w:t>
      </w:r>
    </w:p>
    <w:p w:rsidR="00B37D31" w:rsidRPr="00B37D31" w:rsidRDefault="00B37D31" w:rsidP="00B37D31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Pr="00B37D31">
        <w:rPr>
          <w:rFonts w:ascii="Verdana" w:hAnsi="Verdana"/>
          <w:sz w:val="20"/>
          <w:szCs w:val="20"/>
        </w:rPr>
        <w:t xml:space="preserve">Forschung insbesondere in der </w:t>
      </w:r>
      <w:proofErr w:type="spellStart"/>
      <w:r w:rsidRPr="00B37D31">
        <w:rPr>
          <w:rFonts w:ascii="Verdana" w:hAnsi="Verdana"/>
          <w:i/>
          <w:iCs/>
          <w:sz w:val="20"/>
          <w:szCs w:val="20"/>
        </w:rPr>
        <w:t>Behavioral</w:t>
      </w:r>
      <w:proofErr w:type="spellEnd"/>
      <w:r w:rsidRPr="00B37D31">
        <w:rPr>
          <w:rFonts w:ascii="Verdana" w:hAnsi="Verdana"/>
          <w:i/>
          <w:iCs/>
          <w:sz w:val="20"/>
          <w:szCs w:val="20"/>
        </w:rPr>
        <w:t xml:space="preserve"> </w:t>
      </w:r>
      <w:proofErr w:type="spellStart"/>
      <w:r w:rsidRPr="00B37D31">
        <w:rPr>
          <w:rFonts w:ascii="Verdana" w:hAnsi="Verdana"/>
          <w:i/>
          <w:iCs/>
          <w:sz w:val="20"/>
          <w:szCs w:val="20"/>
        </w:rPr>
        <w:t>finance</w:t>
      </w:r>
      <w:proofErr w:type="spellEnd"/>
      <w:r w:rsidRPr="00B37D31">
        <w:rPr>
          <w:rFonts w:ascii="Verdana" w:hAnsi="Verdana"/>
          <w:sz w:val="20"/>
          <w:szCs w:val="20"/>
        </w:rPr>
        <w:t xml:space="preserve">; z.B. zu langes Halten von Wertpapieren aufgrund Verlustaversion </w:t>
      </w:r>
    </w:p>
    <w:p w:rsidR="00B37D31" w:rsidRPr="00B37D31" w:rsidRDefault="00B37D31" w:rsidP="00B37D31">
      <w:pPr>
        <w:pStyle w:val="KeinLeerraum"/>
        <w:rPr>
          <w:rFonts w:ascii="Verdana" w:hAnsi="Verdana"/>
          <w:sz w:val="20"/>
          <w:szCs w:val="20"/>
        </w:rPr>
      </w:pPr>
    </w:p>
    <w:p w:rsidR="0045555C" w:rsidRDefault="0045555C" w:rsidP="0045555C">
      <w:pPr>
        <w:pStyle w:val="Default"/>
      </w:pPr>
    </w:p>
    <w:p w:rsidR="00B37D31" w:rsidRDefault="00B37D31" w:rsidP="0045555C">
      <w:pPr>
        <w:pStyle w:val="Default"/>
      </w:pPr>
    </w:p>
    <w:p w:rsidR="00B37D31" w:rsidRDefault="00B37D31" w:rsidP="0045555C">
      <w:pPr>
        <w:pStyle w:val="Default"/>
      </w:pPr>
    </w:p>
    <w:p w:rsidR="00B37D31" w:rsidRDefault="00B37D31" w:rsidP="0045555C">
      <w:pPr>
        <w:pStyle w:val="Default"/>
      </w:pPr>
    </w:p>
    <w:p w:rsidR="0045555C" w:rsidRPr="00B37D31" w:rsidRDefault="00B37D31" w:rsidP="00BB550F">
      <w:pPr>
        <w:pStyle w:val="KeinLeerraum"/>
        <w:shd w:val="clear" w:color="auto" w:fill="F2F2F2" w:themeFill="background1" w:themeFillShade="F2"/>
        <w:rPr>
          <w:rFonts w:ascii="Verdana" w:hAnsi="Verdana"/>
          <w:b/>
          <w:sz w:val="24"/>
          <w:szCs w:val="24"/>
          <w:u w:val="single"/>
        </w:rPr>
      </w:pPr>
      <w:r w:rsidRPr="00B37D31">
        <w:rPr>
          <w:rFonts w:ascii="Verdana" w:hAnsi="Verdana"/>
          <w:b/>
          <w:sz w:val="24"/>
          <w:szCs w:val="24"/>
          <w:u w:val="single"/>
        </w:rPr>
        <w:lastRenderedPageBreak/>
        <w:t>Zusammenfassung</w:t>
      </w:r>
      <w:r>
        <w:rPr>
          <w:rFonts w:ascii="Verdana" w:hAnsi="Verdana"/>
          <w:sz w:val="20"/>
          <w:szCs w:val="20"/>
        </w:rPr>
        <w:br/>
      </w:r>
      <w:r w:rsidR="0045555C" w:rsidRPr="00B37D31">
        <w:rPr>
          <w:rFonts w:ascii="Verdana" w:hAnsi="Verdana"/>
          <w:sz w:val="20"/>
          <w:szCs w:val="20"/>
        </w:rPr>
        <w:t>Uminterpretation von Keynes durch Hicks-Hansen-Synthese (‚Krisentheorie‘, Unsicherheit/Psychologie nicht verfolgt, falscher Fokus auf Gleichgewichte) und Modigliani (</w:t>
      </w:r>
      <w:proofErr w:type="spellStart"/>
      <w:r w:rsidR="0045555C" w:rsidRPr="00B37D31">
        <w:rPr>
          <w:rFonts w:ascii="Verdana" w:hAnsi="Verdana"/>
          <w:sz w:val="20"/>
          <w:szCs w:val="20"/>
        </w:rPr>
        <w:t>neoklass</w:t>
      </w:r>
      <w:proofErr w:type="spellEnd"/>
      <w:r w:rsidR="0045555C" w:rsidRPr="00B37D31">
        <w:rPr>
          <w:rFonts w:ascii="Verdana" w:hAnsi="Verdana"/>
          <w:sz w:val="20"/>
          <w:szCs w:val="20"/>
        </w:rPr>
        <w:t xml:space="preserve">. Arbeitsmarkt, niedrige Investitionen als Folge, nicht Ursache von Arbeitslosigkeit) -&gt; Neoklassische Synthese </w:t>
      </w:r>
    </w:p>
    <w:p w:rsidR="0045555C" w:rsidRPr="00B37D31" w:rsidRDefault="0045555C" w:rsidP="00BB550F">
      <w:pPr>
        <w:pStyle w:val="KeinLeerraum"/>
        <w:shd w:val="clear" w:color="auto" w:fill="F2F2F2" w:themeFill="background1" w:themeFillShade="F2"/>
        <w:rPr>
          <w:rFonts w:ascii="Verdana" w:hAnsi="Verdana"/>
          <w:sz w:val="20"/>
          <w:szCs w:val="20"/>
        </w:rPr>
      </w:pPr>
      <w:r w:rsidRPr="00B37D31">
        <w:rPr>
          <w:rFonts w:ascii="Verdana" w:hAnsi="Verdana"/>
          <w:sz w:val="20"/>
          <w:szCs w:val="20"/>
        </w:rPr>
        <w:t xml:space="preserve">Kanonisierung dieser Ansichten und Etablierung ‚der‘ </w:t>
      </w:r>
      <w:proofErr w:type="spellStart"/>
      <w:r w:rsidRPr="00B37D31">
        <w:rPr>
          <w:rFonts w:ascii="Verdana" w:hAnsi="Verdana"/>
          <w:sz w:val="20"/>
          <w:szCs w:val="20"/>
        </w:rPr>
        <w:t>volkswirt</w:t>
      </w:r>
      <w:proofErr w:type="spellEnd"/>
      <w:r w:rsidRPr="00B37D31">
        <w:rPr>
          <w:rFonts w:ascii="Verdana" w:hAnsi="Verdana"/>
          <w:sz w:val="20"/>
          <w:szCs w:val="20"/>
        </w:rPr>
        <w:t xml:space="preserve">. Methode durch Samuelson (1947: Methodologie, 1948 ff.: Standardlehrbuch) </w:t>
      </w:r>
    </w:p>
    <w:p w:rsidR="0045555C" w:rsidRPr="00B37D31" w:rsidRDefault="0045555C" w:rsidP="00BB550F">
      <w:pPr>
        <w:pStyle w:val="KeinLeerraum"/>
        <w:shd w:val="clear" w:color="auto" w:fill="F2F2F2" w:themeFill="background1" w:themeFillShade="F2"/>
        <w:rPr>
          <w:rFonts w:ascii="Verdana" w:hAnsi="Verdana"/>
          <w:sz w:val="20"/>
          <w:szCs w:val="20"/>
        </w:rPr>
      </w:pPr>
      <w:r w:rsidRPr="00B37D31">
        <w:rPr>
          <w:rFonts w:ascii="Verdana" w:hAnsi="Verdana"/>
          <w:sz w:val="20"/>
          <w:szCs w:val="20"/>
        </w:rPr>
        <w:t xml:space="preserve">Ablehnung der Konsumfunktion von Keynes und nachfrageorientierter Politik durch Friedman, Neufassung der Quantitätstheorie -&gt; Monetarismus </w:t>
      </w:r>
    </w:p>
    <w:p w:rsidR="0045555C" w:rsidRPr="00B37D31" w:rsidRDefault="0045555C" w:rsidP="00BB550F">
      <w:pPr>
        <w:pStyle w:val="KeinLeerraum"/>
        <w:shd w:val="clear" w:color="auto" w:fill="F2F2F2" w:themeFill="background1" w:themeFillShade="F2"/>
        <w:rPr>
          <w:rFonts w:ascii="Verdana" w:hAnsi="Verdana"/>
          <w:sz w:val="20"/>
          <w:szCs w:val="20"/>
        </w:rPr>
      </w:pPr>
      <w:r w:rsidRPr="00B37D31">
        <w:rPr>
          <w:rFonts w:ascii="Verdana" w:hAnsi="Verdana"/>
          <w:sz w:val="20"/>
          <w:szCs w:val="20"/>
        </w:rPr>
        <w:t xml:space="preserve">Lucas-Kritik an erfahrungsbasierter Wirtschaftspolitik – tiefe Mikrofundierung der Makroökonomie aus streng neoklassischer Mikroökonomik </w:t>
      </w:r>
    </w:p>
    <w:p w:rsidR="0045555C" w:rsidRPr="00B37D31" w:rsidRDefault="0045555C" w:rsidP="00BB550F">
      <w:pPr>
        <w:pStyle w:val="KeinLeerraum"/>
        <w:shd w:val="clear" w:color="auto" w:fill="F2F2F2" w:themeFill="background1" w:themeFillShade="F2"/>
        <w:rPr>
          <w:rFonts w:ascii="Verdana" w:hAnsi="Verdana"/>
          <w:sz w:val="20"/>
          <w:szCs w:val="20"/>
        </w:rPr>
      </w:pPr>
      <w:r w:rsidRPr="00B37D31">
        <w:rPr>
          <w:rFonts w:ascii="Verdana" w:hAnsi="Verdana"/>
          <w:sz w:val="20"/>
          <w:szCs w:val="20"/>
        </w:rPr>
        <w:t xml:space="preserve">Dagegen gerichtet: „Neue Neoklassische Synthese“ des Neukeynesianismus, ebenfalls mikrofundiert, aber Fälle von Marktversagen berücksichtigend </w:t>
      </w:r>
    </w:p>
    <w:p w:rsidR="0045555C" w:rsidRDefault="0045555C" w:rsidP="00BB550F">
      <w:pPr>
        <w:pStyle w:val="KeinLeerraum"/>
        <w:shd w:val="clear" w:color="auto" w:fill="F2F2F2" w:themeFill="background1" w:themeFillShade="F2"/>
        <w:rPr>
          <w:rFonts w:ascii="Verdana" w:hAnsi="Verdana"/>
          <w:b/>
          <w:bCs/>
          <w:sz w:val="20"/>
          <w:szCs w:val="20"/>
        </w:rPr>
      </w:pPr>
      <w:r w:rsidRPr="00B37D31">
        <w:rPr>
          <w:rFonts w:ascii="Verdana" w:hAnsi="Verdana"/>
          <w:sz w:val="20"/>
          <w:szCs w:val="20"/>
        </w:rPr>
        <w:t xml:space="preserve">Weiterentwicklung der Mikroökonomik, v.a.: Verhaltens- u. </w:t>
      </w:r>
      <w:proofErr w:type="spellStart"/>
      <w:r w:rsidRPr="00B37D31">
        <w:rPr>
          <w:rFonts w:ascii="Verdana" w:hAnsi="Verdana"/>
          <w:sz w:val="20"/>
          <w:szCs w:val="20"/>
        </w:rPr>
        <w:t>Experimentalökon</w:t>
      </w:r>
      <w:proofErr w:type="spellEnd"/>
      <w:r w:rsidRPr="00B37D31">
        <w:rPr>
          <w:rFonts w:ascii="Verdana" w:hAnsi="Verdana"/>
          <w:sz w:val="20"/>
          <w:szCs w:val="20"/>
        </w:rPr>
        <w:t xml:space="preserve">. </w:t>
      </w:r>
      <w:r w:rsidRPr="00B37D31">
        <w:rPr>
          <w:rFonts w:ascii="Verdana" w:hAnsi="Verdana"/>
          <w:b/>
          <w:bCs/>
          <w:sz w:val="20"/>
          <w:szCs w:val="20"/>
        </w:rPr>
        <w:t>Märkte so oder so zentral in VWL –&gt; auch in Wir</w:t>
      </w:r>
      <w:r w:rsidR="00B37D31">
        <w:rPr>
          <w:rFonts w:ascii="Verdana" w:hAnsi="Verdana"/>
          <w:b/>
          <w:bCs/>
          <w:sz w:val="20"/>
          <w:szCs w:val="20"/>
        </w:rPr>
        <w:t>tschaftsordnungen u. -politik…?</w:t>
      </w:r>
    </w:p>
    <w:p w:rsidR="00B37D31" w:rsidRPr="00B37D31" w:rsidRDefault="00B37D31" w:rsidP="00B37D31">
      <w:pPr>
        <w:pStyle w:val="KeinLeerraum"/>
        <w:rPr>
          <w:rFonts w:ascii="Verdana" w:hAnsi="Verdana"/>
          <w:sz w:val="20"/>
          <w:szCs w:val="20"/>
        </w:rPr>
      </w:pPr>
    </w:p>
    <w:p w:rsidR="0045555C" w:rsidRDefault="0045555C" w:rsidP="0045555C">
      <w:pPr>
        <w:pStyle w:val="KeinLeerraum"/>
        <w:rPr>
          <w:rFonts w:ascii="Verdana" w:hAnsi="Verdana"/>
          <w:sz w:val="20"/>
          <w:szCs w:val="20"/>
        </w:rPr>
      </w:pPr>
    </w:p>
    <w:p w:rsidR="00B37D31" w:rsidRDefault="00B37D31" w:rsidP="0045555C">
      <w:pPr>
        <w:pStyle w:val="KeinLeerraum"/>
        <w:rPr>
          <w:rFonts w:ascii="Verdana" w:hAnsi="Verdana"/>
          <w:sz w:val="20"/>
          <w:szCs w:val="20"/>
        </w:rPr>
      </w:pPr>
    </w:p>
    <w:p w:rsidR="00B37D31" w:rsidRPr="00B37D31" w:rsidRDefault="00B37D31" w:rsidP="00B37D31">
      <w:pPr>
        <w:pStyle w:val="KeinLeerraum"/>
        <w:shd w:val="clear" w:color="auto" w:fill="F2F2F2" w:themeFill="background1" w:themeFillShade="F2"/>
        <w:rPr>
          <w:rFonts w:ascii="Verdana" w:hAnsi="Verdana"/>
          <w:sz w:val="24"/>
          <w:szCs w:val="24"/>
        </w:rPr>
      </w:pPr>
      <w:r w:rsidRPr="00B37D31">
        <w:rPr>
          <w:rFonts w:ascii="Verdana" w:hAnsi="Verdana"/>
          <w:b/>
          <w:sz w:val="24"/>
          <w:szCs w:val="24"/>
        </w:rPr>
        <w:t>Verständnisfragen</w:t>
      </w:r>
      <w:r>
        <w:rPr>
          <w:rFonts w:ascii="Verdana" w:hAnsi="Verdana"/>
          <w:sz w:val="24"/>
          <w:szCs w:val="24"/>
        </w:rPr>
        <w:t>:</w:t>
      </w:r>
    </w:p>
    <w:p w:rsidR="00B37D31" w:rsidRPr="00B37D31" w:rsidRDefault="00B37D31" w:rsidP="00B37D31">
      <w:pPr>
        <w:pStyle w:val="KeinLeerraum"/>
        <w:shd w:val="clear" w:color="auto" w:fill="F2F2F2" w:themeFill="background1" w:themeFillShade="F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W</w:t>
      </w:r>
      <w:r w:rsidRPr="00B37D31">
        <w:rPr>
          <w:rFonts w:ascii="Verdana" w:hAnsi="Verdana"/>
          <w:sz w:val="20"/>
          <w:szCs w:val="20"/>
        </w:rPr>
        <w:t xml:space="preserve">elche Folge hat laut Keynes eine Lohnsenkung für die Güternachfrage? </w:t>
      </w:r>
    </w:p>
    <w:p w:rsidR="00B37D31" w:rsidRPr="00B37D31" w:rsidRDefault="00B37D31" w:rsidP="00B37D31">
      <w:pPr>
        <w:pStyle w:val="KeinLeerraum"/>
        <w:shd w:val="clear" w:color="auto" w:fill="F2F2F2" w:themeFill="background1" w:themeFillShade="F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Pr="00B37D31">
        <w:rPr>
          <w:rFonts w:ascii="Verdana" w:hAnsi="Verdana"/>
          <w:sz w:val="20"/>
          <w:szCs w:val="20"/>
        </w:rPr>
        <w:t xml:space="preserve">Können Sie die Unterschiede der IS-LM-Ansätze von Hicks und Modigliani erklären? </w:t>
      </w:r>
    </w:p>
    <w:p w:rsidR="00B37D31" w:rsidRPr="00B37D31" w:rsidRDefault="00B37D31" w:rsidP="00B37D31">
      <w:pPr>
        <w:pStyle w:val="KeinLeerraum"/>
        <w:shd w:val="clear" w:color="auto" w:fill="F2F2F2" w:themeFill="background1" w:themeFillShade="F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Pr="00B37D31">
        <w:rPr>
          <w:rFonts w:ascii="Verdana" w:hAnsi="Verdana"/>
          <w:sz w:val="20"/>
          <w:szCs w:val="20"/>
        </w:rPr>
        <w:t xml:space="preserve">Worin bestand der Einfluss von Paul Samuelson auf die Entwicklung des Fachs VWL? </w:t>
      </w:r>
    </w:p>
    <w:p w:rsidR="00B37D31" w:rsidRPr="00B37D31" w:rsidRDefault="00B37D31" w:rsidP="00B37D31">
      <w:pPr>
        <w:pStyle w:val="KeinLeerraum"/>
        <w:shd w:val="clear" w:color="auto" w:fill="F2F2F2" w:themeFill="background1" w:themeFillShade="F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Pr="00B37D31">
        <w:rPr>
          <w:rFonts w:ascii="Verdana" w:hAnsi="Verdana"/>
          <w:sz w:val="20"/>
          <w:szCs w:val="20"/>
        </w:rPr>
        <w:t xml:space="preserve">Welche Aspekte der General </w:t>
      </w:r>
      <w:proofErr w:type="spellStart"/>
      <w:r w:rsidRPr="00B37D31">
        <w:rPr>
          <w:rFonts w:ascii="Verdana" w:hAnsi="Verdana"/>
          <w:sz w:val="20"/>
          <w:szCs w:val="20"/>
        </w:rPr>
        <w:t>Theory</w:t>
      </w:r>
      <w:proofErr w:type="spellEnd"/>
      <w:r w:rsidRPr="00B37D31">
        <w:rPr>
          <w:rFonts w:ascii="Verdana" w:hAnsi="Verdana"/>
          <w:sz w:val="20"/>
          <w:szCs w:val="20"/>
        </w:rPr>
        <w:t xml:space="preserve"> </w:t>
      </w:r>
      <w:proofErr w:type="gramStart"/>
      <w:r w:rsidRPr="00B37D31">
        <w:rPr>
          <w:rFonts w:ascii="Verdana" w:hAnsi="Verdana"/>
          <w:sz w:val="20"/>
          <w:szCs w:val="20"/>
        </w:rPr>
        <w:t>gehen</w:t>
      </w:r>
      <w:proofErr w:type="gramEnd"/>
      <w:r w:rsidRPr="00B37D31">
        <w:rPr>
          <w:rFonts w:ascii="Verdana" w:hAnsi="Verdana"/>
          <w:sz w:val="20"/>
          <w:szCs w:val="20"/>
        </w:rPr>
        <w:t xml:space="preserve"> in der Neoklassischen Synthese verloren? </w:t>
      </w:r>
    </w:p>
    <w:p w:rsidR="00B37D31" w:rsidRPr="00B37D31" w:rsidRDefault="00B37D31" w:rsidP="00B37D31">
      <w:pPr>
        <w:pStyle w:val="KeinLeerraum"/>
        <w:shd w:val="clear" w:color="auto" w:fill="F2F2F2" w:themeFill="background1" w:themeFillShade="F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Pr="00B37D31">
        <w:rPr>
          <w:rFonts w:ascii="Verdana" w:hAnsi="Verdana"/>
          <w:sz w:val="20"/>
          <w:szCs w:val="20"/>
        </w:rPr>
        <w:t xml:space="preserve">Warum funktioniert nach Milton Friedman </w:t>
      </w:r>
      <w:proofErr w:type="spellStart"/>
      <w:r w:rsidRPr="00B37D31">
        <w:rPr>
          <w:rFonts w:ascii="Verdana" w:hAnsi="Verdana"/>
          <w:sz w:val="20"/>
          <w:szCs w:val="20"/>
        </w:rPr>
        <w:t>keynesianische</w:t>
      </w:r>
      <w:proofErr w:type="spellEnd"/>
      <w:r w:rsidRPr="00B37D31">
        <w:rPr>
          <w:rFonts w:ascii="Verdana" w:hAnsi="Verdana"/>
          <w:sz w:val="20"/>
          <w:szCs w:val="20"/>
        </w:rPr>
        <w:t xml:space="preserve"> Politik nicht? </w:t>
      </w:r>
    </w:p>
    <w:p w:rsidR="00B37D31" w:rsidRPr="00B37D31" w:rsidRDefault="00B37D31" w:rsidP="00B37D31">
      <w:pPr>
        <w:pStyle w:val="KeinLeerraum"/>
        <w:shd w:val="clear" w:color="auto" w:fill="F2F2F2" w:themeFill="background1" w:themeFillShade="F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Pr="00B37D31">
        <w:rPr>
          <w:rFonts w:ascii="Verdana" w:hAnsi="Verdana"/>
          <w:sz w:val="20"/>
          <w:szCs w:val="20"/>
        </w:rPr>
        <w:t xml:space="preserve">Was ist nach Lucas die Lösung für das in der Lucas-Kritik aufgeworfene Problem? </w:t>
      </w:r>
    </w:p>
    <w:p w:rsidR="00B37D31" w:rsidRPr="00B37D31" w:rsidRDefault="00B37D31" w:rsidP="00B37D31">
      <w:pPr>
        <w:pStyle w:val="KeinLeerraum"/>
        <w:shd w:val="clear" w:color="auto" w:fill="F2F2F2" w:themeFill="background1" w:themeFillShade="F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Pr="00B37D31">
        <w:rPr>
          <w:rFonts w:ascii="Verdana" w:hAnsi="Verdana"/>
          <w:sz w:val="20"/>
          <w:szCs w:val="20"/>
        </w:rPr>
        <w:t xml:space="preserve">Welche Kritik üben </w:t>
      </w:r>
      <w:proofErr w:type="spellStart"/>
      <w:r w:rsidRPr="00B37D31">
        <w:rPr>
          <w:rFonts w:ascii="Verdana" w:hAnsi="Verdana"/>
          <w:sz w:val="20"/>
          <w:szCs w:val="20"/>
        </w:rPr>
        <w:t>Neukeynesianer</w:t>
      </w:r>
      <w:proofErr w:type="spellEnd"/>
      <w:r w:rsidRPr="00B37D31">
        <w:rPr>
          <w:rFonts w:ascii="Verdana" w:hAnsi="Verdana"/>
          <w:sz w:val="20"/>
          <w:szCs w:val="20"/>
        </w:rPr>
        <w:t xml:space="preserve"> am neuklassischen Standpunkt von Lukas? Begriffe, </w:t>
      </w:r>
      <w:r w:rsidRPr="00B37D31">
        <w:rPr>
          <w:rFonts w:ascii="Verdana" w:hAnsi="Verdana"/>
          <w:b/>
          <w:sz w:val="24"/>
          <w:szCs w:val="24"/>
        </w:rPr>
        <w:t>Konzepte</w:t>
      </w:r>
      <w:r w:rsidRPr="00B37D31">
        <w:rPr>
          <w:rFonts w:ascii="Verdana" w:hAnsi="Verdana"/>
          <w:sz w:val="24"/>
          <w:szCs w:val="24"/>
        </w:rPr>
        <w:t>:</w:t>
      </w:r>
      <w:r w:rsidRPr="00B37D31">
        <w:rPr>
          <w:rFonts w:ascii="Verdana" w:hAnsi="Verdana"/>
          <w:sz w:val="20"/>
          <w:szCs w:val="20"/>
        </w:rPr>
        <w:t xml:space="preserve"> </w:t>
      </w:r>
    </w:p>
    <w:p w:rsidR="00B37D31" w:rsidRPr="0045555C" w:rsidRDefault="00B37D31" w:rsidP="00B37D31">
      <w:pPr>
        <w:pStyle w:val="KeinLeerraum"/>
        <w:shd w:val="clear" w:color="auto" w:fill="F2F2F2" w:themeFill="background1" w:themeFillShade="F2"/>
        <w:rPr>
          <w:rFonts w:ascii="Verdana" w:hAnsi="Verdana"/>
          <w:sz w:val="20"/>
          <w:szCs w:val="20"/>
        </w:rPr>
      </w:pPr>
      <w:r w:rsidRPr="00B37D31">
        <w:rPr>
          <w:rFonts w:ascii="Verdana" w:hAnsi="Verdana"/>
          <w:i/>
          <w:iCs/>
          <w:sz w:val="20"/>
          <w:szCs w:val="20"/>
        </w:rPr>
        <w:t xml:space="preserve">Sind Ihnen die folgenden Begriffe und Konzepte geläufig? </w:t>
      </w:r>
      <w:r w:rsidRPr="00B37D31">
        <w:rPr>
          <w:rFonts w:ascii="Verdana" w:hAnsi="Verdana"/>
          <w:sz w:val="20"/>
          <w:szCs w:val="20"/>
        </w:rPr>
        <w:t xml:space="preserve">IS-LM, Lebenszyklushypothese, neoklassischer Arbeitsmarkt, Liquiditätsfalle, neoklassische Synthese, ‚Bastard </w:t>
      </w:r>
      <w:proofErr w:type="spellStart"/>
      <w:r w:rsidRPr="00B37D31">
        <w:rPr>
          <w:rFonts w:ascii="Verdana" w:hAnsi="Verdana"/>
          <w:sz w:val="20"/>
          <w:szCs w:val="20"/>
        </w:rPr>
        <w:t>Keynesianism</w:t>
      </w:r>
      <w:proofErr w:type="spellEnd"/>
      <w:r w:rsidRPr="00B37D31">
        <w:rPr>
          <w:rFonts w:ascii="Verdana" w:hAnsi="Verdana"/>
          <w:sz w:val="20"/>
          <w:szCs w:val="20"/>
        </w:rPr>
        <w:t xml:space="preserve">‘, Postkeynesianismus, Stagflation, Monetarismus, Einheitswissenschaft, Lucas-Kritik, Mikrofundierung, Neue Neoklassische Synthese, Institutionenökonomik, Transaktionskosten, Spieltheorie, Verhaltensökonomik, Experimentalökonomik, </w:t>
      </w:r>
      <w:proofErr w:type="spellStart"/>
      <w:r w:rsidRPr="00B37D31">
        <w:rPr>
          <w:rFonts w:ascii="Verdana" w:hAnsi="Verdana"/>
          <w:i/>
          <w:iCs/>
          <w:sz w:val="20"/>
          <w:szCs w:val="20"/>
        </w:rPr>
        <w:t>prospect</w:t>
      </w:r>
      <w:proofErr w:type="spellEnd"/>
      <w:r w:rsidRPr="00B37D31">
        <w:rPr>
          <w:rFonts w:ascii="Verdana" w:hAnsi="Verdana"/>
          <w:i/>
          <w:iCs/>
          <w:sz w:val="20"/>
          <w:szCs w:val="20"/>
        </w:rPr>
        <w:t xml:space="preserve"> </w:t>
      </w:r>
      <w:proofErr w:type="spellStart"/>
      <w:r w:rsidRPr="00B37D31">
        <w:rPr>
          <w:rFonts w:ascii="Verdana" w:hAnsi="Verdana"/>
          <w:i/>
          <w:iCs/>
          <w:sz w:val="20"/>
          <w:szCs w:val="20"/>
        </w:rPr>
        <w:t>theory</w:t>
      </w:r>
      <w:proofErr w:type="spellEnd"/>
      <w:r>
        <w:rPr>
          <w:rFonts w:ascii="Verdana" w:hAnsi="Verdana"/>
          <w:sz w:val="20"/>
          <w:szCs w:val="20"/>
        </w:rPr>
        <w:t>, Verlustaversion.</w:t>
      </w:r>
    </w:p>
    <w:sectPr w:rsidR="00B37D31" w:rsidRPr="0045555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53B55CA"/>
    <w:multiLevelType w:val="hybridMultilevel"/>
    <w:tmpl w:val="548884D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D0DBFE1"/>
    <w:multiLevelType w:val="hybridMultilevel"/>
    <w:tmpl w:val="6DC8036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458D511"/>
    <w:multiLevelType w:val="hybridMultilevel"/>
    <w:tmpl w:val="8645591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7DE570A"/>
    <w:multiLevelType w:val="hybridMultilevel"/>
    <w:tmpl w:val="AF586AE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B9962CC4"/>
    <w:multiLevelType w:val="hybridMultilevel"/>
    <w:tmpl w:val="ADAD3AE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C35027DB"/>
    <w:multiLevelType w:val="hybridMultilevel"/>
    <w:tmpl w:val="FB18B74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C5C2981D"/>
    <w:multiLevelType w:val="hybridMultilevel"/>
    <w:tmpl w:val="81D58A3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C9C44DDD"/>
    <w:multiLevelType w:val="hybridMultilevel"/>
    <w:tmpl w:val="FE69FA1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D1D520B0"/>
    <w:multiLevelType w:val="hybridMultilevel"/>
    <w:tmpl w:val="610BE8A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D2ECDAAA"/>
    <w:multiLevelType w:val="hybridMultilevel"/>
    <w:tmpl w:val="5E4063C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E6BF760C"/>
    <w:multiLevelType w:val="hybridMultilevel"/>
    <w:tmpl w:val="B2B2D34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EB1904C7"/>
    <w:multiLevelType w:val="hybridMultilevel"/>
    <w:tmpl w:val="2E152EF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EB409BB5"/>
    <w:multiLevelType w:val="hybridMultilevel"/>
    <w:tmpl w:val="0828991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F7BE2E24"/>
    <w:multiLevelType w:val="hybridMultilevel"/>
    <w:tmpl w:val="34C9425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2B05729"/>
    <w:multiLevelType w:val="hybridMultilevel"/>
    <w:tmpl w:val="D9EA92DA"/>
    <w:lvl w:ilvl="0" w:tplc="B808878E">
      <w:start w:val="1957"/>
      <w:numFmt w:val="bullet"/>
      <w:lvlText w:val="-"/>
      <w:lvlJc w:val="left"/>
      <w:pPr>
        <w:ind w:left="720" w:hanging="360"/>
      </w:pPr>
      <w:rPr>
        <w:rFonts w:ascii="Verdana" w:eastAsiaTheme="minorHAnsi" w:hAnsi="Verdana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31DC579"/>
    <w:multiLevelType w:val="hybridMultilevel"/>
    <w:tmpl w:val="EAE9BA0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57DD696"/>
    <w:multiLevelType w:val="hybridMultilevel"/>
    <w:tmpl w:val="B1B9DB0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DCD5802"/>
    <w:multiLevelType w:val="hybridMultilevel"/>
    <w:tmpl w:val="CBBA808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1196E5A4"/>
    <w:multiLevelType w:val="hybridMultilevel"/>
    <w:tmpl w:val="3D3F650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1CFC4F73"/>
    <w:multiLevelType w:val="hybridMultilevel"/>
    <w:tmpl w:val="896D346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1F774BBE"/>
    <w:multiLevelType w:val="hybridMultilevel"/>
    <w:tmpl w:val="CE785B86"/>
    <w:lvl w:ilvl="0" w:tplc="9FD2E3A4">
      <w:start w:val="1957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1CB0BDD"/>
    <w:multiLevelType w:val="hybridMultilevel"/>
    <w:tmpl w:val="3E8B57C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22FB30A8"/>
    <w:multiLevelType w:val="hybridMultilevel"/>
    <w:tmpl w:val="1D56F476"/>
    <w:lvl w:ilvl="0" w:tplc="ABEE4A6A">
      <w:start w:val="4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8847DED"/>
    <w:multiLevelType w:val="hybridMultilevel"/>
    <w:tmpl w:val="033C919C"/>
    <w:lvl w:ilvl="0" w:tplc="47E478AC">
      <w:start w:val="1985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CB219C"/>
    <w:multiLevelType w:val="hybridMultilevel"/>
    <w:tmpl w:val="159A2BEA"/>
    <w:lvl w:ilvl="0" w:tplc="615EDFD8">
      <w:start w:val="8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C21C2B"/>
    <w:multiLevelType w:val="hybridMultilevel"/>
    <w:tmpl w:val="D7660D2A"/>
    <w:lvl w:ilvl="0" w:tplc="4EEC2474">
      <w:start w:val="3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0D3C0D"/>
    <w:multiLevelType w:val="hybridMultilevel"/>
    <w:tmpl w:val="6E1EE9FA"/>
    <w:lvl w:ilvl="0" w:tplc="861C8944">
      <w:start w:val="197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DB0BAC"/>
    <w:multiLevelType w:val="hybridMultilevel"/>
    <w:tmpl w:val="039A9572"/>
    <w:lvl w:ilvl="0" w:tplc="DC1A75C8">
      <w:start w:val="1985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EDB06B4"/>
    <w:multiLevelType w:val="hybridMultilevel"/>
    <w:tmpl w:val="1FAA2462"/>
    <w:lvl w:ilvl="0" w:tplc="FA0A0D4A">
      <w:start w:val="1957"/>
      <w:numFmt w:val="bullet"/>
      <w:lvlText w:val="-"/>
      <w:lvlJc w:val="left"/>
      <w:pPr>
        <w:ind w:left="720" w:hanging="360"/>
      </w:pPr>
      <w:rPr>
        <w:rFonts w:ascii="Verdana" w:eastAsiaTheme="minorHAnsi" w:hAnsi="Verdana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0E0F52"/>
    <w:multiLevelType w:val="hybridMultilevel"/>
    <w:tmpl w:val="02E8D1C6"/>
    <w:lvl w:ilvl="0" w:tplc="FEE2E184">
      <w:start w:val="8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C46135"/>
    <w:multiLevelType w:val="hybridMultilevel"/>
    <w:tmpl w:val="5D4CB9E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43340843"/>
    <w:multiLevelType w:val="hybridMultilevel"/>
    <w:tmpl w:val="26D686E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49FB7815"/>
    <w:multiLevelType w:val="hybridMultilevel"/>
    <w:tmpl w:val="C9F0AB3A"/>
    <w:lvl w:ilvl="0" w:tplc="375C2334">
      <w:start w:val="1985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8403EE"/>
    <w:multiLevelType w:val="hybridMultilevel"/>
    <w:tmpl w:val="56E4F010"/>
    <w:lvl w:ilvl="0" w:tplc="CE82FA5C">
      <w:start w:val="193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22472F"/>
    <w:multiLevelType w:val="hybridMultilevel"/>
    <w:tmpl w:val="4E64A998"/>
    <w:lvl w:ilvl="0" w:tplc="E3A6F890">
      <w:start w:val="4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32316D"/>
    <w:multiLevelType w:val="hybridMultilevel"/>
    <w:tmpl w:val="FE4896B2"/>
    <w:lvl w:ilvl="0" w:tplc="9AE6D62C">
      <w:start w:val="8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6BA558"/>
    <w:multiLevelType w:val="hybridMultilevel"/>
    <w:tmpl w:val="7303D42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63335C9B"/>
    <w:multiLevelType w:val="hybridMultilevel"/>
    <w:tmpl w:val="C6FC5C64"/>
    <w:lvl w:ilvl="0" w:tplc="76622A08">
      <w:start w:val="4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CD4197"/>
    <w:multiLevelType w:val="hybridMultilevel"/>
    <w:tmpl w:val="04744928"/>
    <w:lvl w:ilvl="0" w:tplc="FF1A3726">
      <w:start w:val="1985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0225E7"/>
    <w:multiLevelType w:val="hybridMultilevel"/>
    <w:tmpl w:val="E640C2BE"/>
    <w:lvl w:ilvl="0" w:tplc="E6004C5C">
      <w:start w:val="8"/>
      <w:numFmt w:val="bullet"/>
      <w:lvlText w:val="−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150818"/>
    <w:multiLevelType w:val="hybridMultilevel"/>
    <w:tmpl w:val="F650210C"/>
    <w:lvl w:ilvl="0" w:tplc="6B645B2A">
      <w:start w:val="193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197121"/>
    <w:multiLevelType w:val="hybridMultilevel"/>
    <w:tmpl w:val="5DC8339A"/>
    <w:lvl w:ilvl="0" w:tplc="E2F8C462">
      <w:start w:val="8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C854A8"/>
    <w:multiLevelType w:val="hybridMultilevel"/>
    <w:tmpl w:val="25547C74"/>
    <w:lvl w:ilvl="0" w:tplc="91D2A150">
      <w:start w:val="1957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59CDFB"/>
    <w:multiLevelType w:val="hybridMultilevel"/>
    <w:tmpl w:val="A170C7B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 w15:restartNumberingAfterBreak="0">
    <w:nsid w:val="76729E7C"/>
    <w:multiLevelType w:val="hybridMultilevel"/>
    <w:tmpl w:val="6086036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5" w15:restartNumberingAfterBreak="0">
    <w:nsid w:val="79A866E6"/>
    <w:multiLevelType w:val="hybridMultilevel"/>
    <w:tmpl w:val="5FD4D8AC"/>
    <w:lvl w:ilvl="0" w:tplc="0B50426A">
      <w:start w:val="8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50619E"/>
    <w:multiLevelType w:val="hybridMultilevel"/>
    <w:tmpl w:val="35E00F4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6"/>
  </w:num>
  <w:num w:numId="2">
    <w:abstractNumId w:val="8"/>
  </w:num>
  <w:num w:numId="3">
    <w:abstractNumId w:val="30"/>
  </w:num>
  <w:num w:numId="4">
    <w:abstractNumId w:val="26"/>
  </w:num>
  <w:num w:numId="5">
    <w:abstractNumId w:val="40"/>
  </w:num>
  <w:num w:numId="6">
    <w:abstractNumId w:val="43"/>
  </w:num>
  <w:num w:numId="7">
    <w:abstractNumId w:val="33"/>
  </w:num>
  <w:num w:numId="8">
    <w:abstractNumId w:val="10"/>
  </w:num>
  <w:num w:numId="9">
    <w:abstractNumId w:val="45"/>
  </w:num>
  <w:num w:numId="10">
    <w:abstractNumId w:val="18"/>
  </w:num>
  <w:num w:numId="11">
    <w:abstractNumId w:val="35"/>
  </w:num>
  <w:num w:numId="12">
    <w:abstractNumId w:val="39"/>
  </w:num>
  <w:num w:numId="13">
    <w:abstractNumId w:val="44"/>
  </w:num>
  <w:num w:numId="14">
    <w:abstractNumId w:val="3"/>
  </w:num>
  <w:num w:numId="15">
    <w:abstractNumId w:val="23"/>
  </w:num>
  <w:num w:numId="16">
    <w:abstractNumId w:val="27"/>
  </w:num>
  <w:num w:numId="17">
    <w:abstractNumId w:val="21"/>
  </w:num>
  <w:num w:numId="18">
    <w:abstractNumId w:val="38"/>
  </w:num>
  <w:num w:numId="19">
    <w:abstractNumId w:val="5"/>
  </w:num>
  <w:num w:numId="20">
    <w:abstractNumId w:val="17"/>
  </w:num>
  <w:num w:numId="21">
    <w:abstractNumId w:val="32"/>
  </w:num>
  <w:num w:numId="22">
    <w:abstractNumId w:val="12"/>
  </w:num>
  <w:num w:numId="23">
    <w:abstractNumId w:val="25"/>
  </w:num>
  <w:num w:numId="24">
    <w:abstractNumId w:val="36"/>
  </w:num>
  <w:num w:numId="25">
    <w:abstractNumId w:val="20"/>
  </w:num>
  <w:num w:numId="26">
    <w:abstractNumId w:val="11"/>
  </w:num>
  <w:num w:numId="27">
    <w:abstractNumId w:val="28"/>
  </w:num>
  <w:num w:numId="28">
    <w:abstractNumId w:val="14"/>
  </w:num>
  <w:num w:numId="29">
    <w:abstractNumId w:val="19"/>
  </w:num>
  <w:num w:numId="30">
    <w:abstractNumId w:val="46"/>
  </w:num>
  <w:num w:numId="31">
    <w:abstractNumId w:val="42"/>
  </w:num>
  <w:num w:numId="32">
    <w:abstractNumId w:val="7"/>
  </w:num>
  <w:num w:numId="33">
    <w:abstractNumId w:val="9"/>
  </w:num>
  <w:num w:numId="34">
    <w:abstractNumId w:val="15"/>
  </w:num>
  <w:num w:numId="35">
    <w:abstractNumId w:val="34"/>
  </w:num>
  <w:num w:numId="36">
    <w:abstractNumId w:val="22"/>
  </w:num>
  <w:num w:numId="37">
    <w:abstractNumId w:val="31"/>
  </w:num>
  <w:num w:numId="38">
    <w:abstractNumId w:val="37"/>
  </w:num>
  <w:num w:numId="39">
    <w:abstractNumId w:val="6"/>
  </w:num>
  <w:num w:numId="40">
    <w:abstractNumId w:val="29"/>
  </w:num>
  <w:num w:numId="41">
    <w:abstractNumId w:val="1"/>
  </w:num>
  <w:num w:numId="42">
    <w:abstractNumId w:val="41"/>
  </w:num>
  <w:num w:numId="43">
    <w:abstractNumId w:val="13"/>
  </w:num>
  <w:num w:numId="44">
    <w:abstractNumId w:val="0"/>
  </w:num>
  <w:num w:numId="45">
    <w:abstractNumId w:val="4"/>
  </w:num>
  <w:num w:numId="46">
    <w:abstractNumId w:val="2"/>
  </w:num>
  <w:num w:numId="4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8F9"/>
    <w:rsid w:val="00190AB7"/>
    <w:rsid w:val="00410706"/>
    <w:rsid w:val="0045555C"/>
    <w:rsid w:val="00485C25"/>
    <w:rsid w:val="00504E2C"/>
    <w:rsid w:val="006F08F9"/>
    <w:rsid w:val="0075549F"/>
    <w:rsid w:val="009D7171"/>
    <w:rsid w:val="00AA2702"/>
    <w:rsid w:val="00B37D31"/>
    <w:rsid w:val="00BB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6B0B38-DB87-472F-B4BF-6B78963FE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45555C"/>
    <w:pPr>
      <w:spacing w:after="0" w:line="240" w:lineRule="auto"/>
    </w:pPr>
  </w:style>
  <w:style w:type="paragraph" w:customStyle="1" w:styleId="Default">
    <w:name w:val="Default"/>
    <w:rsid w:val="0045555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2624</Words>
  <Characters>16534</Characters>
  <Application>Microsoft Office Word</Application>
  <DocSecurity>0</DocSecurity>
  <Lines>137</Lines>
  <Paragraphs>38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</dc:creator>
  <cp:keywords/>
  <dc:description/>
  <cp:lastModifiedBy>johan</cp:lastModifiedBy>
  <cp:revision>7</cp:revision>
  <dcterms:created xsi:type="dcterms:W3CDTF">2018-03-13T18:59:00Z</dcterms:created>
  <dcterms:modified xsi:type="dcterms:W3CDTF">2018-03-15T21:16:00Z</dcterms:modified>
</cp:coreProperties>
</file>