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7D" w:rsidRDefault="0016297D" w:rsidP="00854A4E">
      <w:pPr>
        <w:pStyle w:val="KeinLeerraum"/>
        <w:rPr>
          <w:rFonts w:ascii="Verdana" w:hAnsi="Verdana"/>
          <w:b/>
          <w:sz w:val="32"/>
          <w:szCs w:val="32"/>
          <w:u w:val="single"/>
        </w:rPr>
      </w:pPr>
      <w:r w:rsidRPr="0016297D">
        <w:rPr>
          <w:rFonts w:ascii="Verdana" w:hAnsi="Verdana"/>
          <w:sz w:val="32"/>
          <w:szCs w:val="32"/>
        </w:rPr>
        <w:t xml:space="preserve">10. </w:t>
      </w:r>
      <w:r w:rsidRPr="0016297D">
        <w:rPr>
          <w:rFonts w:ascii="Verdana" w:hAnsi="Verdana"/>
          <w:b/>
          <w:sz w:val="32"/>
          <w:szCs w:val="32"/>
          <w:u w:val="single"/>
        </w:rPr>
        <w:t>Wachstum und Entwicklung</w:t>
      </w:r>
    </w:p>
    <w:p w:rsidR="00854A4E" w:rsidRPr="00854A4E" w:rsidRDefault="00854A4E" w:rsidP="00854A4E">
      <w:pPr>
        <w:pStyle w:val="KeinLeerraum"/>
        <w:rPr>
          <w:rFonts w:ascii="Verdana" w:hAnsi="Verdana"/>
          <w:sz w:val="32"/>
          <w:szCs w:val="32"/>
        </w:rPr>
      </w:pPr>
    </w:p>
    <w:p w:rsidR="00854A4E" w:rsidRDefault="0043632A" w:rsidP="008234C0">
      <w:pPr>
        <w:pStyle w:val="KeinLeerraum"/>
        <w:rPr>
          <w:sz w:val="28"/>
          <w:szCs w:val="28"/>
        </w:rPr>
      </w:pPr>
      <w:r w:rsidRPr="0043632A">
        <w:rPr>
          <w:sz w:val="28"/>
          <w:szCs w:val="28"/>
        </w:rPr>
        <w:t xml:space="preserve">10.1. </w:t>
      </w:r>
      <w:r w:rsidRPr="0043632A">
        <w:rPr>
          <w:b/>
          <w:sz w:val="28"/>
          <w:szCs w:val="28"/>
          <w:u w:val="single"/>
        </w:rPr>
        <w:t>Die Erfindung des Bruttosozialprodukts</w:t>
      </w:r>
    </w:p>
    <w:p w:rsidR="00854A4E" w:rsidRPr="00854A4E" w:rsidRDefault="00854A4E" w:rsidP="008234C0">
      <w:pPr>
        <w:pStyle w:val="KeinLeerraum"/>
        <w:rPr>
          <w:sz w:val="28"/>
          <w:szCs w:val="28"/>
        </w:rPr>
      </w:pPr>
    </w:p>
    <w:p w:rsidR="008234C0" w:rsidRDefault="0043632A" w:rsidP="008234C0">
      <w:pPr>
        <w:pStyle w:val="KeinLeerraum"/>
        <w:rPr>
          <w:rFonts w:ascii="Verdana" w:hAnsi="Verdana"/>
          <w:sz w:val="20"/>
          <w:szCs w:val="20"/>
        </w:rPr>
      </w:pPr>
      <w:r w:rsidRPr="008234C0">
        <w:rPr>
          <w:rFonts w:ascii="Verdana" w:hAnsi="Verdana"/>
          <w:b/>
          <w:sz w:val="20"/>
          <w:szCs w:val="20"/>
        </w:rPr>
        <w:t>Die Vermessung der Volkswirtschaft: Ausgangslage</w:t>
      </w:r>
      <w:r w:rsidRPr="008234C0">
        <w:rPr>
          <w:rFonts w:ascii="Verdana" w:hAnsi="Verdana"/>
          <w:sz w:val="20"/>
          <w:szCs w:val="20"/>
        </w:rPr>
        <w:t>:</w:t>
      </w:r>
    </w:p>
    <w:p w:rsid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</w:t>
      </w:r>
      <w:r w:rsidR="0043632A" w:rsidRPr="008234C0">
        <w:rPr>
          <w:rFonts w:ascii="Verdana" w:hAnsi="Verdana"/>
          <w:sz w:val="20"/>
          <w:szCs w:val="20"/>
        </w:rPr>
        <w:t>lüte der Konjunktur</w:t>
      </w:r>
      <w:r>
        <w:rPr>
          <w:rFonts w:ascii="Verdana" w:hAnsi="Verdana"/>
          <w:sz w:val="20"/>
          <w:szCs w:val="20"/>
        </w:rPr>
        <w:t>forschung in den 1920er Jahren</w:t>
      </w:r>
    </w:p>
    <w:p w:rsidR="0043632A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3632A" w:rsidRPr="008234C0">
        <w:rPr>
          <w:rFonts w:ascii="Verdana" w:hAnsi="Verdana"/>
          <w:sz w:val="20"/>
          <w:szCs w:val="20"/>
        </w:rPr>
        <w:t>Gründung von Forschungsinstituten: I</w:t>
      </w:r>
      <w:r>
        <w:rPr>
          <w:rFonts w:ascii="Verdana" w:hAnsi="Verdana"/>
          <w:sz w:val="20"/>
          <w:szCs w:val="20"/>
        </w:rPr>
        <w:t xml:space="preserve">nstitut für Konjunkturforschung -&gt; heute: DIW </w:t>
      </w:r>
      <w:r>
        <w:rPr>
          <w:rFonts w:ascii="Verdana" w:hAnsi="Verdana"/>
          <w:sz w:val="20"/>
          <w:szCs w:val="20"/>
        </w:rPr>
        <w:br/>
        <w:t xml:space="preserve">- </w:t>
      </w:r>
      <w:r w:rsidR="0043632A" w:rsidRPr="008234C0">
        <w:rPr>
          <w:rFonts w:ascii="Verdana" w:hAnsi="Verdana"/>
          <w:sz w:val="20"/>
          <w:szCs w:val="20"/>
        </w:rPr>
        <w:t xml:space="preserve">Suche nach Zyklen in </w:t>
      </w:r>
      <w:r w:rsidR="0043632A" w:rsidRPr="008234C0">
        <w:rPr>
          <w:rFonts w:ascii="Verdana" w:hAnsi="Verdana"/>
          <w:sz w:val="20"/>
          <w:szCs w:val="20"/>
          <w:u w:val="single"/>
        </w:rPr>
        <w:t>verschiedenen</w:t>
      </w:r>
      <w:r w:rsidR="0043632A" w:rsidRPr="008234C0">
        <w:rPr>
          <w:rFonts w:ascii="Verdana" w:hAnsi="Verdana"/>
          <w:sz w:val="20"/>
          <w:szCs w:val="20"/>
        </w:rPr>
        <w:t xml:space="preserve"> Indikatoren des Geschäftslebens -&gt; Ausbau der Wirtschaftsstatistik</w:t>
      </w:r>
      <w:r>
        <w:rPr>
          <w:rFonts w:ascii="Verdana" w:hAnsi="Verdana"/>
          <w:sz w:val="20"/>
          <w:szCs w:val="20"/>
        </w:rPr>
        <w:t>;</w:t>
      </w:r>
      <w:r w:rsidR="0043632A" w:rsidRPr="008234C0">
        <w:rPr>
          <w:rFonts w:ascii="Verdana" w:hAnsi="Verdana"/>
          <w:sz w:val="20"/>
          <w:szCs w:val="20"/>
        </w:rPr>
        <w:t xml:space="preserve"> </w:t>
      </w:r>
    </w:p>
    <w:p w:rsidR="0043632A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234C0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Volkseinkommen</w:t>
      </w:r>
      <w:r w:rsidRPr="008234C0">
        <w:rPr>
          <w:rFonts w:ascii="Verdana" w:hAnsi="Verdana"/>
          <w:sz w:val="20"/>
          <w:szCs w:val="20"/>
        </w:rPr>
        <w:t>"</w:t>
      </w:r>
      <w:r w:rsidR="0043632A" w:rsidRPr="008234C0">
        <w:rPr>
          <w:rFonts w:ascii="Verdana" w:hAnsi="Verdana"/>
          <w:sz w:val="20"/>
          <w:szCs w:val="20"/>
        </w:rPr>
        <w:t xml:space="preserve"> al</w:t>
      </w:r>
      <w:r>
        <w:rPr>
          <w:rFonts w:ascii="Verdana" w:hAnsi="Verdana"/>
          <w:sz w:val="20"/>
          <w:szCs w:val="20"/>
        </w:rPr>
        <w:t xml:space="preserve">s </w:t>
      </w:r>
      <w:r w:rsidRPr="008234C0">
        <w:rPr>
          <w:rFonts w:ascii="Verdana" w:hAnsi="Verdana"/>
          <w:sz w:val="20"/>
          <w:szCs w:val="20"/>
          <w:u w:val="single"/>
        </w:rPr>
        <w:t>theoretisches</w:t>
      </w:r>
      <w:r w:rsidR="0043632A" w:rsidRPr="008234C0">
        <w:rPr>
          <w:rFonts w:ascii="Verdana" w:hAnsi="Verdana"/>
          <w:sz w:val="20"/>
          <w:szCs w:val="20"/>
        </w:rPr>
        <w:t xml:space="preserve"> Konzept der Gesamtgröße einer Volkswirtschaft im Zuge des Aufstiegs der Makroökonomie („</w:t>
      </w:r>
      <w:proofErr w:type="spellStart"/>
      <w:r w:rsidR="0043632A" w:rsidRPr="008234C0">
        <w:rPr>
          <w:rFonts w:ascii="Verdana" w:hAnsi="Verdana"/>
          <w:sz w:val="20"/>
          <w:szCs w:val="20"/>
        </w:rPr>
        <w:t>income</w:t>
      </w:r>
      <w:proofErr w:type="spellEnd"/>
      <w:r w:rsidR="0043632A" w:rsidRPr="008234C0">
        <w:rPr>
          <w:rFonts w:ascii="Verdana" w:hAnsi="Verdana"/>
          <w:sz w:val="20"/>
          <w:szCs w:val="20"/>
        </w:rPr>
        <w:t xml:space="preserve">“ bei Keynes, Hicks, etc.) </w:t>
      </w:r>
    </w:p>
    <w:p w:rsidR="0043632A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3632A" w:rsidRPr="008234C0">
        <w:rPr>
          <w:rFonts w:ascii="Verdana" w:hAnsi="Verdana"/>
          <w:sz w:val="20"/>
          <w:szCs w:val="20"/>
        </w:rPr>
        <w:t xml:space="preserve">nur grobe Schätzungen alle paar Jahre in sehr wenigen Ländern, noch kein kontinuierlicher Indikator für wirtschaftliche Entwicklung </w:t>
      </w:r>
    </w:p>
    <w:p w:rsid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</w:t>
      </w:r>
      <w:r w:rsidR="0043632A" w:rsidRPr="008234C0">
        <w:rPr>
          <w:rFonts w:ascii="Verdana" w:hAnsi="Verdana"/>
          <w:sz w:val="20"/>
          <w:szCs w:val="20"/>
        </w:rPr>
        <w:t xml:space="preserve">erausforderung Weltwirtschaftskrise: Wie </w:t>
      </w:r>
      <w:r>
        <w:rPr>
          <w:rFonts w:ascii="Verdana" w:hAnsi="Verdana"/>
          <w:sz w:val="20"/>
          <w:szCs w:val="20"/>
        </w:rPr>
        <w:t>stark sank das Volkseinkommen?</w:t>
      </w:r>
    </w:p>
    <w:p w:rsid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</w:p>
    <w:p w:rsidR="008234C0" w:rsidRPr="008234C0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8234C0">
        <w:rPr>
          <w:rFonts w:ascii="Verdana" w:hAnsi="Verdana" w:cs="Calibri"/>
          <w:b/>
          <w:color w:val="000000"/>
          <w:sz w:val="20"/>
          <w:szCs w:val="20"/>
        </w:rPr>
        <w:t>Bestimmung des Volkseinkommens in Großbritannien</w:t>
      </w:r>
      <w:r>
        <w:rPr>
          <w:rFonts w:ascii="Verdana" w:hAnsi="Verdana" w:cs="Calibri"/>
          <w:color w:val="000000"/>
          <w:sz w:val="20"/>
          <w:szCs w:val="20"/>
        </w:rPr>
        <w:t>:</w:t>
      </w:r>
    </w:p>
    <w:p w:rsidR="008234C0" w:rsidRPr="008234C0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</w:t>
      </w:r>
      <w:r w:rsidRPr="008234C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8234C0">
        <w:rPr>
          <w:rFonts w:ascii="Verdana" w:hAnsi="Verdana"/>
          <w:b/>
          <w:sz w:val="20"/>
          <w:szCs w:val="20"/>
        </w:rPr>
        <w:t>Colin G. Clarke</w:t>
      </w:r>
      <w:r w:rsidRPr="008234C0">
        <w:rPr>
          <w:rFonts w:ascii="Verdana" w:hAnsi="Verdana"/>
          <w:sz w:val="20"/>
          <w:szCs w:val="20"/>
        </w:rPr>
        <w:t xml:space="preserve"> (Statistikdozent in Cambridge) </w:t>
      </w:r>
      <w:r w:rsidRPr="008234C0">
        <w:rPr>
          <w:rFonts w:ascii="Verdana" w:hAnsi="Verdana" w:cs="Calibri"/>
          <w:color w:val="000000"/>
          <w:sz w:val="20"/>
          <w:szCs w:val="20"/>
        </w:rPr>
        <w:t xml:space="preserve">als Naturwissenschaftler generell unzufrieden mit dem Verzicht </w:t>
      </w:r>
      <w:proofErr w:type="spellStart"/>
      <w:r w:rsidRPr="008234C0">
        <w:rPr>
          <w:rFonts w:ascii="Verdana" w:hAnsi="Verdana" w:cs="Calibri"/>
          <w:color w:val="000000"/>
          <w:sz w:val="20"/>
          <w:szCs w:val="20"/>
        </w:rPr>
        <w:t>deduktio</w:t>
      </w:r>
      <w:r>
        <w:rPr>
          <w:rFonts w:ascii="Verdana" w:hAnsi="Verdana" w:cs="Calibri"/>
          <w:color w:val="000000"/>
          <w:sz w:val="20"/>
          <w:szCs w:val="20"/>
        </w:rPr>
        <w:t>nistischer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Ökonomen auf Empirie.</w:t>
      </w:r>
    </w:p>
    <w:p w:rsidR="008234C0" w:rsidRPr="008234C0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8234C0">
        <w:rPr>
          <w:rFonts w:ascii="Verdana" w:hAnsi="Verdana" w:cs="Calibri"/>
          <w:color w:val="000000"/>
          <w:sz w:val="20"/>
          <w:szCs w:val="20"/>
        </w:rPr>
        <w:t xml:space="preserve">Schätzt ohne Auftrag brit. Volkseinkommens 1924-31; Innovationen 1932-40: 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8234C0">
        <w:rPr>
          <w:rFonts w:ascii="Verdana" w:hAnsi="Verdana" w:cs="Calibri"/>
          <w:color w:val="000000"/>
          <w:sz w:val="20"/>
          <w:szCs w:val="20"/>
        </w:rPr>
        <w:sym w:font="Wingdings" w:char="F0E0"/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8234C0">
        <w:rPr>
          <w:rFonts w:ascii="Verdana" w:hAnsi="Verdana" w:cs="Calibri"/>
          <w:color w:val="000000"/>
          <w:sz w:val="20"/>
          <w:szCs w:val="20"/>
        </w:rPr>
        <w:t xml:space="preserve">Berechnung auf drei Wegen (Produktion, Verteilung, Ausgaben) </w:t>
      </w:r>
    </w:p>
    <w:p w:rsidR="008234C0" w:rsidRPr="008234C0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8234C0">
        <w:rPr>
          <w:rFonts w:ascii="Verdana" w:hAnsi="Verdana" w:cs="Calibri"/>
          <w:color w:val="000000"/>
          <w:sz w:val="20"/>
          <w:szCs w:val="20"/>
        </w:rPr>
        <w:sym w:font="Wingdings" w:char="F0E0"/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8234C0">
        <w:rPr>
          <w:rFonts w:ascii="Verdana" w:hAnsi="Verdana" w:cs="Calibri"/>
          <w:color w:val="000000"/>
          <w:sz w:val="20"/>
          <w:szCs w:val="20"/>
        </w:rPr>
        <w:t xml:space="preserve">Bruttoeinkommen pro Kopf als Indikator für </w:t>
      </w:r>
      <w:proofErr w:type="spellStart"/>
      <w:r w:rsidRPr="008234C0">
        <w:rPr>
          <w:rFonts w:ascii="Verdana" w:hAnsi="Verdana" w:cs="Calibri"/>
          <w:color w:val="000000"/>
          <w:sz w:val="20"/>
          <w:szCs w:val="20"/>
        </w:rPr>
        <w:t>volkswirt</w:t>
      </w:r>
      <w:proofErr w:type="spellEnd"/>
      <w:r w:rsidRPr="008234C0">
        <w:rPr>
          <w:rFonts w:ascii="Verdana" w:hAnsi="Verdana" w:cs="Calibri"/>
          <w:color w:val="000000"/>
          <w:sz w:val="20"/>
          <w:szCs w:val="20"/>
        </w:rPr>
        <w:t xml:space="preserve">. Entwicklung </w:t>
      </w:r>
    </w:p>
    <w:p w:rsidR="008234C0" w:rsidRPr="008234C0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8234C0">
        <w:rPr>
          <w:rFonts w:ascii="Verdana" w:hAnsi="Verdana" w:cs="Calibri"/>
          <w:color w:val="000000"/>
          <w:sz w:val="20"/>
          <w:szCs w:val="20"/>
        </w:rPr>
        <w:sym w:font="Wingdings" w:char="F0E0"/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8234C0">
        <w:rPr>
          <w:rFonts w:ascii="Verdana" w:hAnsi="Verdana" w:cs="Calibri"/>
          <w:color w:val="000000"/>
          <w:sz w:val="20"/>
          <w:szCs w:val="20"/>
        </w:rPr>
        <w:t>Kaufkraftparität: Ländervergleich über „International Units“ (Kaufkraft eines USD 1925–34) -&gt; Entsetzen über un</w:t>
      </w:r>
      <w:r>
        <w:rPr>
          <w:rFonts w:ascii="Verdana" w:hAnsi="Verdana" w:cs="Calibri"/>
          <w:color w:val="000000"/>
          <w:sz w:val="20"/>
          <w:szCs w:val="20"/>
        </w:rPr>
        <w:t>geahnte Disparitäten: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8234C0">
        <w:rPr>
          <w:rFonts w:ascii="Verdana" w:hAnsi="Verdana" w:cs="Calibri"/>
          <w:color w:val="000000"/>
          <w:sz w:val="20"/>
          <w:szCs w:val="20"/>
        </w:rPr>
        <w:t xml:space="preserve">1200–1400: USA, Kanada, Neuseeland </w:t>
      </w:r>
    </w:p>
    <w:p w:rsidR="008234C0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8234C0">
        <w:rPr>
          <w:rFonts w:ascii="Verdana" w:hAnsi="Verdana" w:cs="Calibri"/>
          <w:color w:val="000000"/>
          <w:sz w:val="20"/>
          <w:szCs w:val="20"/>
        </w:rPr>
        <w:t xml:space="preserve">Unter 300: u.a. Türkei, Rumänien; China, Indien und übriges Asien; übriges Afrika </w:t>
      </w:r>
    </w:p>
    <w:p w:rsidR="008234C0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</w:p>
    <w:p w:rsidR="008234C0" w:rsidRPr="00854A4E" w:rsidRDefault="008234C0" w:rsidP="00854A4E">
      <w:pPr>
        <w:pStyle w:val="Default"/>
      </w:pPr>
      <w:r w:rsidRPr="008234C0">
        <w:rPr>
          <w:rFonts w:ascii="Verdana" w:hAnsi="Verdana"/>
          <w:b/>
          <w:sz w:val="20"/>
          <w:szCs w:val="20"/>
        </w:rPr>
        <w:t>Simon Kuznets</w:t>
      </w:r>
      <w:r w:rsidR="00854A4E">
        <w:rPr>
          <w:rFonts w:ascii="Verdana" w:hAnsi="Verdana"/>
          <w:b/>
          <w:sz w:val="20"/>
          <w:szCs w:val="20"/>
        </w:rPr>
        <w:t xml:space="preserve"> </w:t>
      </w:r>
      <w:r w:rsidR="00854A4E">
        <w:rPr>
          <w:rFonts w:ascii="Verdana" w:hAnsi="Verdana"/>
          <w:sz w:val="20"/>
          <w:szCs w:val="20"/>
        </w:rPr>
        <w:t xml:space="preserve">(1901 – 1985) </w:t>
      </w:r>
    </w:p>
    <w:p w:rsidR="008234C0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8234C0">
        <w:rPr>
          <w:rFonts w:ascii="Verdana" w:hAnsi="Verdana" w:cs="Calibri"/>
          <w:color w:val="000000"/>
          <w:sz w:val="20"/>
          <w:szCs w:val="20"/>
        </w:rPr>
        <w:t>„National Income“, „</w:t>
      </w:r>
      <w:proofErr w:type="spellStart"/>
      <w:r w:rsidRPr="008234C0">
        <w:rPr>
          <w:rFonts w:ascii="Verdana" w:hAnsi="Verdana" w:cs="Calibri"/>
          <w:color w:val="000000"/>
          <w:sz w:val="20"/>
          <w:szCs w:val="20"/>
        </w:rPr>
        <w:t>Economic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Growth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and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Income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Inequality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“</w:t>
      </w:r>
    </w:p>
    <w:p w:rsidR="008234C0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</w:p>
    <w:p w:rsidR="008234C0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 w:rsidRPr="008234C0">
        <w:rPr>
          <w:rFonts w:ascii="Verdana" w:hAnsi="Verdana"/>
          <w:b/>
          <w:bCs/>
          <w:sz w:val="20"/>
          <w:szCs w:val="20"/>
        </w:rPr>
        <w:t xml:space="preserve">Bestimmung des Volkseinkommens in den USA </w:t>
      </w:r>
    </w:p>
    <w:p w:rsidR="008234C0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</w:t>
      </w:r>
      <w:r w:rsidRPr="008234C0">
        <w:rPr>
          <w:rFonts w:ascii="Verdana" w:hAnsi="Verdana"/>
          <w:sz w:val="20"/>
          <w:szCs w:val="20"/>
        </w:rPr>
        <w:t xml:space="preserve">ongress verlangt 1932 eine Statistik des Volkseinkommens 1929–31 </w:t>
      </w:r>
    </w:p>
    <w:p w:rsidR="008234C0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234C0">
        <w:rPr>
          <w:rFonts w:ascii="Verdana" w:hAnsi="Verdana"/>
          <w:sz w:val="20"/>
          <w:szCs w:val="20"/>
        </w:rPr>
        <w:t xml:space="preserve">Handelsministerium überfordert -&gt; NBER beauftragt, Kuznets leitet Projekt </w:t>
      </w:r>
    </w:p>
    <w:p w:rsidR="008234C0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234C0">
        <w:rPr>
          <w:rFonts w:ascii="Verdana" w:hAnsi="Verdana"/>
          <w:b/>
          <w:sz w:val="20"/>
          <w:szCs w:val="20"/>
        </w:rPr>
        <w:t>Kuznets kritisch</w:t>
      </w:r>
      <w:r w:rsidRPr="008234C0">
        <w:rPr>
          <w:rFonts w:ascii="Verdana" w:hAnsi="Verdana"/>
          <w:sz w:val="20"/>
          <w:szCs w:val="20"/>
        </w:rPr>
        <w:t xml:space="preserve">: Daten nur eingeschränkt interpretierbar, nicht vergleichbar (Kontext und Spezifika), fehlt Faktor Zufriedenheit, fehlen nicht marktvermittelte Leistungen </w:t>
      </w:r>
      <w:r>
        <w:rPr>
          <w:rFonts w:ascii="Verdana" w:hAnsi="Verdana"/>
          <w:sz w:val="20"/>
          <w:szCs w:val="20"/>
        </w:rPr>
        <w:t>(Hausarbeit, Kleingarten, etc.)</w:t>
      </w:r>
      <w:r>
        <w:rPr>
          <w:rFonts w:ascii="Verdana" w:hAnsi="Verdana"/>
          <w:sz w:val="20"/>
          <w:szCs w:val="20"/>
        </w:rPr>
        <w:br/>
      </w:r>
      <w:r w:rsidRPr="008234C0">
        <w:rPr>
          <w:rFonts w:ascii="Verdana" w:hAnsi="Verdana"/>
          <w:b/>
          <w:bCs/>
          <w:sz w:val="20"/>
          <w:szCs w:val="20"/>
        </w:rPr>
        <w:t xml:space="preserve">Herausforderung Kriegswirtschaft </w:t>
      </w:r>
    </w:p>
    <w:p w:rsidR="008234C0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234C0">
        <w:rPr>
          <w:rFonts w:ascii="Verdana" w:hAnsi="Verdana"/>
          <w:sz w:val="20"/>
          <w:szCs w:val="20"/>
        </w:rPr>
        <w:t xml:space="preserve">Staaten brauchen Planungsgrößen zur Umsteuerung der Volkswirtschaft </w:t>
      </w:r>
    </w:p>
    <w:p w:rsidR="008234C0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234C0">
        <w:rPr>
          <w:rFonts w:ascii="Verdana" w:hAnsi="Verdana"/>
          <w:sz w:val="20"/>
          <w:szCs w:val="20"/>
        </w:rPr>
        <w:t xml:space="preserve">Ab 1942 in den USA neue Herangehensweise: Fokus auf Bruttosozialprodukt (Produktionsleistung statt Volkseinkommen), </w:t>
      </w:r>
      <w:proofErr w:type="spellStart"/>
      <w:r w:rsidRPr="008234C0">
        <w:rPr>
          <w:rFonts w:ascii="Verdana" w:hAnsi="Verdana"/>
          <w:sz w:val="20"/>
          <w:szCs w:val="20"/>
        </w:rPr>
        <w:t>keynesianische</w:t>
      </w:r>
      <w:proofErr w:type="spellEnd"/>
      <w:r w:rsidRPr="008234C0">
        <w:rPr>
          <w:rFonts w:ascii="Verdana" w:hAnsi="Verdana"/>
          <w:sz w:val="20"/>
          <w:szCs w:val="20"/>
        </w:rPr>
        <w:t xml:space="preserve"> Fundierung </w:t>
      </w:r>
    </w:p>
    <w:p w:rsidR="008234C0" w:rsidRPr="008234C0" w:rsidRDefault="008234C0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234C0">
        <w:rPr>
          <w:rFonts w:ascii="Verdana" w:hAnsi="Verdana"/>
          <w:sz w:val="20"/>
          <w:szCs w:val="20"/>
        </w:rPr>
        <w:t xml:space="preserve">Institutionalisierung einer volkswirtschaftlichen Gesamtrechnung (VGR), als staatl. Daueraufgabe auch nach 1945 begriffen (Steuerung der </w:t>
      </w:r>
      <w:proofErr w:type="spellStart"/>
      <w:r w:rsidRPr="008234C0">
        <w:rPr>
          <w:rFonts w:ascii="Verdana" w:hAnsi="Verdana"/>
          <w:sz w:val="20"/>
          <w:szCs w:val="20"/>
        </w:rPr>
        <w:t>Volksw</w:t>
      </w:r>
      <w:proofErr w:type="spellEnd"/>
      <w:r>
        <w:rPr>
          <w:rFonts w:ascii="Verdana" w:hAnsi="Verdana"/>
          <w:sz w:val="20"/>
          <w:szCs w:val="20"/>
        </w:rPr>
        <w:t>.).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854A4E" w:rsidRPr="00854A4E">
        <w:rPr>
          <w:rFonts w:ascii="Verdana" w:hAnsi="Verdana"/>
          <w:b/>
          <w:sz w:val="20"/>
          <w:szCs w:val="20"/>
        </w:rPr>
        <w:t>Wassily W. Leontief</w:t>
      </w:r>
      <w:r w:rsidR="00854A4E">
        <w:rPr>
          <w:rFonts w:ascii="Verdana" w:hAnsi="Verdana"/>
          <w:sz w:val="20"/>
          <w:szCs w:val="20"/>
        </w:rPr>
        <w:t xml:space="preserve"> (1905 – 1999)</w:t>
      </w:r>
    </w:p>
    <w:p w:rsidR="00854A4E" w:rsidRDefault="008234C0" w:rsidP="008234C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8234C0">
        <w:rPr>
          <w:rFonts w:ascii="Verdana" w:hAnsi="Verdana" w:cs="Calibri"/>
          <w:color w:val="000000"/>
          <w:sz w:val="20"/>
          <w:szCs w:val="20"/>
        </w:rPr>
        <w:t>P</w:t>
      </w:r>
      <w:r w:rsidR="00854A4E">
        <w:rPr>
          <w:rFonts w:ascii="Verdana" w:hAnsi="Verdana" w:cs="Calibri"/>
          <w:color w:val="000000"/>
          <w:sz w:val="20"/>
          <w:szCs w:val="20"/>
        </w:rPr>
        <w:t xml:space="preserve">romotion: </w:t>
      </w:r>
      <w:r w:rsidR="00854A4E" w:rsidRPr="008234C0">
        <w:rPr>
          <w:rFonts w:ascii="Verdana" w:hAnsi="Verdana"/>
          <w:sz w:val="20"/>
          <w:szCs w:val="20"/>
        </w:rPr>
        <w:t>"</w:t>
      </w:r>
      <w:r w:rsidR="00854A4E">
        <w:rPr>
          <w:rFonts w:ascii="Verdana" w:hAnsi="Verdana" w:cs="Calibri"/>
          <w:color w:val="000000"/>
          <w:sz w:val="20"/>
          <w:szCs w:val="20"/>
        </w:rPr>
        <w:t>Die Wirtschaft als Kreislauf</w:t>
      </w:r>
      <w:r w:rsidR="00854A4E" w:rsidRPr="008234C0">
        <w:rPr>
          <w:rFonts w:ascii="Verdana" w:hAnsi="Verdana"/>
          <w:sz w:val="20"/>
          <w:szCs w:val="20"/>
        </w:rPr>
        <w:t>"</w:t>
      </w:r>
      <w:r w:rsidR="00854A4E">
        <w:rPr>
          <w:rFonts w:ascii="Verdana" w:hAnsi="Verdana" w:cs="Calibri"/>
          <w:color w:val="000000"/>
          <w:sz w:val="20"/>
          <w:szCs w:val="20"/>
        </w:rPr>
        <w:t xml:space="preserve">, </w:t>
      </w:r>
      <w:r w:rsidRPr="008234C0">
        <w:rPr>
          <w:rFonts w:ascii="Verdana" w:hAnsi="Verdana" w:cs="Calibri"/>
          <w:color w:val="000000"/>
          <w:sz w:val="20"/>
          <w:szCs w:val="20"/>
        </w:rPr>
        <w:t>I</w:t>
      </w:r>
      <w:r w:rsidR="00854A4E">
        <w:rPr>
          <w:rFonts w:ascii="Verdana" w:hAnsi="Verdana" w:cs="Calibri"/>
          <w:color w:val="000000"/>
          <w:sz w:val="20"/>
          <w:szCs w:val="20"/>
        </w:rPr>
        <w:t>nstitut für Konjunkturforschung, Nobelpreis.</w:t>
      </w:r>
    </w:p>
    <w:p w:rsidR="00854A4E" w:rsidRPr="00854A4E" w:rsidRDefault="00854A4E" w:rsidP="00854A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54A4E" w:rsidRPr="00854A4E" w:rsidRDefault="00854A4E" w:rsidP="00854A4E">
      <w:pPr>
        <w:pStyle w:val="KeinLeerraum"/>
        <w:rPr>
          <w:rFonts w:ascii="Verdana" w:hAnsi="Verdana"/>
          <w:b/>
          <w:sz w:val="20"/>
          <w:szCs w:val="20"/>
        </w:rPr>
      </w:pPr>
      <w:r w:rsidRPr="00854A4E">
        <w:rPr>
          <w:rFonts w:ascii="Verdana" w:hAnsi="Verdana"/>
          <w:b/>
          <w:sz w:val="20"/>
          <w:szCs w:val="20"/>
        </w:rPr>
        <w:t xml:space="preserve">Methodisch-theoretische Grundlagen der VGR Mitte der 1930er Jahre </w:t>
      </w:r>
    </w:p>
    <w:p w:rsidR="00854A4E" w:rsidRPr="00854A4E" w:rsidRDefault="00854A4E" w:rsidP="00854A4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54A4E">
        <w:rPr>
          <w:rFonts w:ascii="Verdana" w:hAnsi="Verdana"/>
          <w:b/>
          <w:sz w:val="20"/>
          <w:szCs w:val="20"/>
        </w:rPr>
        <w:t>Input-Output-Analyse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854A4E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854A4E">
        <w:rPr>
          <w:rFonts w:ascii="Verdana" w:hAnsi="Verdana"/>
          <w:sz w:val="20"/>
          <w:szCs w:val="20"/>
        </w:rPr>
        <w:t xml:space="preserve">Leontief vom physiokratischen „Tableau </w:t>
      </w:r>
      <w:proofErr w:type="spellStart"/>
      <w:r w:rsidRPr="00854A4E">
        <w:rPr>
          <w:rFonts w:ascii="Verdana" w:hAnsi="Verdana"/>
          <w:sz w:val="20"/>
          <w:szCs w:val="20"/>
        </w:rPr>
        <w:t>Economique</w:t>
      </w:r>
      <w:proofErr w:type="spellEnd"/>
      <w:r w:rsidRPr="00854A4E">
        <w:rPr>
          <w:rFonts w:ascii="Verdana" w:hAnsi="Verdana"/>
          <w:sz w:val="20"/>
          <w:szCs w:val="20"/>
        </w:rPr>
        <w:t xml:space="preserve">“ inspiriert </w:t>
      </w:r>
    </w:p>
    <w:p w:rsidR="00854A4E" w:rsidRPr="00854A4E" w:rsidRDefault="00854A4E" w:rsidP="00854A4E">
      <w:pPr>
        <w:pStyle w:val="KeinLeerraum"/>
        <w:rPr>
          <w:rFonts w:ascii="Verdana" w:hAnsi="Verdana"/>
          <w:sz w:val="20"/>
          <w:szCs w:val="20"/>
        </w:rPr>
      </w:pPr>
      <w:r w:rsidRPr="00854A4E">
        <w:rPr>
          <w:rFonts w:ascii="Verdana" w:hAnsi="Verdana"/>
          <w:sz w:val="20"/>
          <w:szCs w:val="20"/>
        </w:rPr>
        <w:sym w:font="Wingdings" w:char="F0E0"/>
      </w:r>
      <w:r w:rsidRPr="00854A4E">
        <w:rPr>
          <w:rFonts w:ascii="Verdana" w:hAnsi="Verdana"/>
          <w:sz w:val="20"/>
          <w:szCs w:val="20"/>
        </w:rPr>
        <w:t xml:space="preserve">Überwindung der neoklassischen Einbahnstraße (Konsumgüter entstehen direkt aus Produktionsfaktoren) durch Kreislaufkonzept: Güter produzieren Güter, Output einer Branche ist Input der nächsten </w:t>
      </w:r>
    </w:p>
    <w:p w:rsidR="00854A4E" w:rsidRPr="00854A4E" w:rsidRDefault="00854A4E" w:rsidP="00854A4E">
      <w:pPr>
        <w:pStyle w:val="KeinLeerraum"/>
        <w:rPr>
          <w:rFonts w:ascii="Verdana" w:hAnsi="Verdana"/>
          <w:sz w:val="20"/>
          <w:szCs w:val="20"/>
        </w:rPr>
      </w:pPr>
      <w:r w:rsidRPr="00854A4E">
        <w:rPr>
          <w:rFonts w:ascii="Verdana" w:hAnsi="Verdana"/>
          <w:sz w:val="20"/>
          <w:szCs w:val="20"/>
        </w:rPr>
        <w:sym w:font="Wingdings" w:char="F0E0"/>
      </w:r>
      <w:r w:rsidRPr="00854A4E">
        <w:rPr>
          <w:rFonts w:ascii="Verdana" w:hAnsi="Verdana"/>
          <w:sz w:val="20"/>
          <w:szCs w:val="20"/>
        </w:rPr>
        <w:t xml:space="preserve">Überwindung der Partialanalyse: Interindustrielle Verflechtungen </w:t>
      </w:r>
    </w:p>
    <w:p w:rsidR="00854A4E" w:rsidRDefault="00854A4E" w:rsidP="00854A4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54A4E">
        <w:rPr>
          <w:rFonts w:ascii="Verdana" w:hAnsi="Verdana"/>
          <w:b/>
          <w:sz w:val="20"/>
          <w:szCs w:val="20"/>
        </w:rPr>
        <w:t>Ökonometrische Makromodellierung von Volkswirtschaften</w:t>
      </w:r>
      <w:r>
        <w:rPr>
          <w:rFonts w:ascii="Verdana" w:hAnsi="Verdana"/>
          <w:sz w:val="20"/>
          <w:szCs w:val="20"/>
        </w:rPr>
        <w:t>:</w:t>
      </w:r>
      <w:r w:rsidRPr="00854A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854A4E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Ragnar </w:t>
      </w:r>
      <w:r w:rsidRPr="00854A4E">
        <w:rPr>
          <w:rFonts w:ascii="Verdana" w:hAnsi="Verdana"/>
          <w:sz w:val="20"/>
          <w:szCs w:val="20"/>
        </w:rPr>
        <w:t xml:space="preserve">Frisch und </w:t>
      </w:r>
      <w:r>
        <w:rPr>
          <w:rFonts w:ascii="Verdana" w:hAnsi="Verdana"/>
          <w:sz w:val="20"/>
          <w:szCs w:val="20"/>
        </w:rPr>
        <w:t xml:space="preserve">Jan </w:t>
      </w:r>
      <w:r w:rsidRPr="00854A4E">
        <w:rPr>
          <w:rFonts w:ascii="Verdana" w:hAnsi="Verdana"/>
          <w:sz w:val="20"/>
          <w:szCs w:val="20"/>
        </w:rPr>
        <w:t>Tinbergen waren all</w:t>
      </w:r>
      <w:r>
        <w:rPr>
          <w:rFonts w:ascii="Verdana" w:hAnsi="Verdana"/>
          <w:sz w:val="20"/>
          <w:szCs w:val="20"/>
        </w:rPr>
        <w:t>ererste Nobelpreisträger.</w:t>
      </w:r>
    </w:p>
    <w:p w:rsidR="00854A4E" w:rsidRPr="00854A4E" w:rsidRDefault="00854A4E" w:rsidP="00854A4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 w:rsidRPr="00854A4E">
        <w:rPr>
          <w:rFonts w:ascii="Verdana" w:hAnsi="Verdana"/>
          <w:b/>
          <w:sz w:val="20"/>
          <w:szCs w:val="20"/>
        </w:rPr>
        <w:t>Keynesianische</w:t>
      </w:r>
      <w:proofErr w:type="spellEnd"/>
      <w:r w:rsidRPr="00854A4E">
        <w:rPr>
          <w:rFonts w:ascii="Verdana" w:hAnsi="Verdana"/>
          <w:b/>
          <w:sz w:val="20"/>
          <w:szCs w:val="20"/>
        </w:rPr>
        <w:t xml:space="preserve"> Makroökonomie</w:t>
      </w:r>
      <w:r w:rsidRPr="00854A4E">
        <w:rPr>
          <w:rFonts w:ascii="Verdana" w:hAnsi="Verdana"/>
          <w:sz w:val="20"/>
          <w:szCs w:val="20"/>
        </w:rPr>
        <w:t xml:space="preserve"> </w:t>
      </w:r>
    </w:p>
    <w:p w:rsidR="008234C0" w:rsidRDefault="00854A4E" w:rsidP="008234C0">
      <w:pPr>
        <w:pStyle w:val="KeinLeerraum"/>
        <w:rPr>
          <w:rFonts w:ascii="Verdana" w:hAnsi="Verdana"/>
          <w:sz w:val="20"/>
          <w:szCs w:val="20"/>
        </w:rPr>
      </w:pPr>
      <w:r w:rsidRPr="00854A4E">
        <w:rPr>
          <w:rFonts w:ascii="Verdana" w:hAnsi="Verdana"/>
          <w:b/>
          <w:bCs/>
          <w:sz w:val="20"/>
          <w:szCs w:val="20"/>
        </w:rPr>
        <w:lastRenderedPageBreak/>
        <w:t>MONIAC (Phillips-Maschine)</w:t>
      </w:r>
      <w:r w:rsidR="0059209B">
        <w:rPr>
          <w:rFonts w:ascii="Verdana" w:hAnsi="Verdana"/>
          <w:b/>
          <w:bCs/>
          <w:sz w:val="20"/>
          <w:szCs w:val="20"/>
        </w:rPr>
        <w:t>:</w:t>
      </w:r>
      <w:r w:rsidRPr="00854A4E">
        <w:rPr>
          <w:rFonts w:ascii="Verdana" w:hAnsi="Verdana"/>
          <w:b/>
          <w:bCs/>
          <w:sz w:val="20"/>
          <w:szCs w:val="20"/>
        </w:rPr>
        <w:t xml:space="preserve"> </w:t>
      </w:r>
      <w:r w:rsidR="0059209B" w:rsidRPr="0059209B">
        <w:rPr>
          <w:rFonts w:ascii="Verdana" w:hAnsi="Verdana"/>
          <w:sz w:val="20"/>
          <w:szCs w:val="20"/>
        </w:rPr>
        <w:t>Analogcomputer</w:t>
      </w:r>
      <w:r w:rsidR="0059209B">
        <w:rPr>
          <w:rFonts w:ascii="Verdana" w:hAnsi="Verdana"/>
          <w:sz w:val="20"/>
          <w:szCs w:val="20"/>
        </w:rPr>
        <w:t xml:space="preserve"> (Makromodell)</w:t>
      </w:r>
      <w:r w:rsidR="0059209B" w:rsidRPr="0059209B">
        <w:rPr>
          <w:rFonts w:ascii="Verdana" w:hAnsi="Verdana"/>
          <w:sz w:val="20"/>
          <w:szCs w:val="20"/>
        </w:rPr>
        <w:t xml:space="preserve">, der mittels Wasserflüssen </w:t>
      </w:r>
      <w:r w:rsidR="0059209B">
        <w:rPr>
          <w:rFonts w:ascii="Verdana" w:hAnsi="Verdana"/>
          <w:sz w:val="20"/>
          <w:szCs w:val="20"/>
        </w:rPr>
        <w:t>unabhängig von Parametern die Geldflüsse</w:t>
      </w:r>
      <w:r w:rsidR="0059209B" w:rsidRPr="0059209B">
        <w:rPr>
          <w:rFonts w:ascii="Verdana" w:hAnsi="Verdana"/>
          <w:sz w:val="20"/>
          <w:szCs w:val="20"/>
        </w:rPr>
        <w:t xml:space="preserve"> durch eine Volkswirtschaft simuliert. </w:t>
      </w:r>
      <w:r w:rsidR="0059209B">
        <w:rPr>
          <w:rFonts w:ascii="Verdana" w:hAnsi="Verdana"/>
          <w:sz w:val="20"/>
          <w:szCs w:val="20"/>
        </w:rPr>
        <w:t>A</w:t>
      </w:r>
      <w:r w:rsidRPr="00854A4E">
        <w:rPr>
          <w:rFonts w:ascii="Verdana" w:hAnsi="Verdana"/>
          <w:sz w:val="20"/>
          <w:szCs w:val="20"/>
        </w:rPr>
        <w:t>ls Lehrmittel gedacht, tatsächlich zur Analyse eingesetzt (frühen Di</w:t>
      </w:r>
      <w:r w:rsidR="0059209B">
        <w:rPr>
          <w:rFonts w:ascii="Verdana" w:hAnsi="Verdana"/>
          <w:sz w:val="20"/>
          <w:szCs w:val="20"/>
        </w:rPr>
        <w:t>gitalcomputern überlegen).</w:t>
      </w:r>
    </w:p>
    <w:p w:rsidR="0059209B" w:rsidRDefault="0059209B" w:rsidP="008234C0">
      <w:pPr>
        <w:pStyle w:val="KeinLeerraum"/>
        <w:rPr>
          <w:rFonts w:ascii="Verdana" w:hAnsi="Verdana"/>
          <w:sz w:val="20"/>
          <w:szCs w:val="20"/>
        </w:rPr>
      </w:pPr>
    </w:p>
    <w:p w:rsidR="0059209B" w:rsidRPr="0059209B" w:rsidRDefault="0059209B" w:rsidP="0059209B">
      <w:pPr>
        <w:pStyle w:val="KeinLeerraum"/>
        <w:rPr>
          <w:rFonts w:ascii="Verdana" w:hAnsi="Verdana"/>
          <w:sz w:val="28"/>
          <w:szCs w:val="28"/>
        </w:rPr>
      </w:pPr>
      <w:r w:rsidRPr="0059209B">
        <w:rPr>
          <w:rFonts w:ascii="Verdana" w:hAnsi="Verdana"/>
          <w:sz w:val="28"/>
          <w:szCs w:val="28"/>
        </w:rPr>
        <w:t xml:space="preserve">10.2. </w:t>
      </w:r>
      <w:r w:rsidRPr="0059209B">
        <w:rPr>
          <w:rFonts w:ascii="Verdana" w:hAnsi="Verdana"/>
          <w:b/>
          <w:sz w:val="28"/>
          <w:szCs w:val="28"/>
          <w:u w:val="single"/>
        </w:rPr>
        <w:t>Das Wirtschaftswachstum nach 1945</w:t>
      </w:r>
    </w:p>
    <w:p w:rsidR="0059209B" w:rsidRPr="0059209B" w:rsidRDefault="0059209B" w:rsidP="0059209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9209B">
        <w:rPr>
          <w:rFonts w:ascii="Verdana" w:hAnsi="Verdana"/>
          <w:sz w:val="20"/>
          <w:szCs w:val="20"/>
        </w:rPr>
        <w:t xml:space="preserve">Primäre Herausforderung nach 1945: Wiederaufbau, </w:t>
      </w:r>
      <w:r>
        <w:rPr>
          <w:rFonts w:ascii="Verdana" w:hAnsi="Verdana"/>
          <w:sz w:val="20"/>
          <w:szCs w:val="20"/>
        </w:rPr>
        <w:t xml:space="preserve">KK als </w:t>
      </w:r>
      <w:r w:rsidRPr="0059209B">
        <w:rPr>
          <w:rFonts w:ascii="Verdana" w:hAnsi="Verdana"/>
          <w:sz w:val="20"/>
          <w:szCs w:val="20"/>
        </w:rPr>
        <w:t xml:space="preserve">Wachstumswettkampf </w:t>
      </w:r>
    </w:p>
    <w:p w:rsidR="0059209B" w:rsidRPr="0059209B" w:rsidRDefault="0059209B" w:rsidP="0059209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9209B">
        <w:rPr>
          <w:rFonts w:ascii="Verdana" w:hAnsi="Verdana"/>
          <w:sz w:val="20"/>
          <w:szCs w:val="20"/>
        </w:rPr>
        <w:t>Förderung des internationalen Handels durch System fester Wechselkurse (</w:t>
      </w:r>
      <w:proofErr w:type="spellStart"/>
      <w:r w:rsidRPr="0059209B">
        <w:rPr>
          <w:rFonts w:ascii="Verdana" w:hAnsi="Verdana"/>
          <w:sz w:val="20"/>
          <w:szCs w:val="20"/>
        </w:rPr>
        <w:t>Bretton</w:t>
      </w:r>
      <w:proofErr w:type="spellEnd"/>
      <w:r w:rsidRPr="0059209B">
        <w:rPr>
          <w:rFonts w:ascii="Verdana" w:hAnsi="Verdana"/>
          <w:sz w:val="20"/>
          <w:szCs w:val="20"/>
        </w:rPr>
        <w:t xml:space="preserve"> Woods) und allmählichen Zollabbau </w:t>
      </w:r>
    </w:p>
    <w:p w:rsidR="0059209B" w:rsidRPr="0059209B" w:rsidRDefault="0059209B" w:rsidP="0059209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9209B">
        <w:rPr>
          <w:rFonts w:ascii="Verdana" w:hAnsi="Verdana"/>
          <w:sz w:val="20"/>
          <w:szCs w:val="20"/>
        </w:rPr>
        <w:t>Rekonstruktionsphase bis frü</w:t>
      </w:r>
      <w:r>
        <w:rPr>
          <w:rFonts w:ascii="Verdana" w:hAnsi="Verdana"/>
          <w:sz w:val="20"/>
          <w:szCs w:val="20"/>
        </w:rPr>
        <w:t>he 1960er, hohe Wachstumsraten</w:t>
      </w:r>
      <w:r>
        <w:rPr>
          <w:rFonts w:ascii="Verdana" w:hAnsi="Verdana"/>
          <w:sz w:val="20"/>
          <w:szCs w:val="20"/>
        </w:rPr>
        <w:br/>
        <w:t xml:space="preserve">- </w:t>
      </w:r>
      <w:r w:rsidRPr="0059209B">
        <w:rPr>
          <w:rFonts w:ascii="Verdana" w:hAnsi="Verdana"/>
          <w:sz w:val="20"/>
          <w:szCs w:val="20"/>
        </w:rPr>
        <w:t xml:space="preserve">Zunehmend kurze Wachstumsschwächen ab ca. 1960: Phase </w:t>
      </w:r>
      <w:proofErr w:type="spellStart"/>
      <w:r w:rsidRPr="0059209B">
        <w:rPr>
          <w:rFonts w:ascii="Verdana" w:hAnsi="Verdana"/>
          <w:sz w:val="20"/>
          <w:szCs w:val="20"/>
        </w:rPr>
        <w:t>keynesianischer</w:t>
      </w:r>
      <w:proofErr w:type="spellEnd"/>
      <w:r w:rsidRPr="0059209B">
        <w:rPr>
          <w:rFonts w:ascii="Verdana" w:hAnsi="Verdana"/>
          <w:sz w:val="20"/>
          <w:szCs w:val="20"/>
        </w:rPr>
        <w:t xml:space="preserve"> Stabilisierung des Wachstums </w:t>
      </w:r>
    </w:p>
    <w:p w:rsidR="0059209B" w:rsidRPr="0059209B" w:rsidRDefault="0059209B" w:rsidP="0059209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9209B">
        <w:rPr>
          <w:rFonts w:ascii="Verdana" w:hAnsi="Verdana"/>
          <w:sz w:val="20"/>
          <w:szCs w:val="20"/>
        </w:rPr>
        <w:t xml:space="preserve">Ende 1970er: Beginn der ‚neoliberalen‘ Phase des Wachstums durch Entfesselung; </w:t>
      </w:r>
      <w:proofErr w:type="spellStart"/>
      <w:r w:rsidRPr="0059209B">
        <w:rPr>
          <w:rFonts w:ascii="Verdana" w:hAnsi="Verdana"/>
          <w:sz w:val="20"/>
          <w:szCs w:val="20"/>
        </w:rPr>
        <w:t>Unstetigkeiten</w:t>
      </w:r>
      <w:proofErr w:type="spellEnd"/>
      <w:r w:rsidRPr="0059209B">
        <w:rPr>
          <w:rFonts w:ascii="Verdana" w:hAnsi="Verdana"/>
          <w:sz w:val="20"/>
          <w:szCs w:val="20"/>
        </w:rPr>
        <w:t xml:space="preserve"> bewusst in Kauf genommen </w:t>
      </w:r>
    </w:p>
    <w:p w:rsidR="0059209B" w:rsidRDefault="0059209B" w:rsidP="0059209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9209B">
        <w:rPr>
          <w:rFonts w:ascii="Verdana" w:hAnsi="Verdana"/>
          <w:sz w:val="20"/>
          <w:szCs w:val="20"/>
        </w:rPr>
        <w:t xml:space="preserve">Versagen </w:t>
      </w:r>
      <w:r>
        <w:rPr>
          <w:rFonts w:ascii="Verdana" w:hAnsi="Verdana"/>
          <w:sz w:val="20"/>
          <w:szCs w:val="20"/>
        </w:rPr>
        <w:t>der Planwirtschaften ab 1980ern.</w:t>
      </w:r>
    </w:p>
    <w:p w:rsidR="008234C0" w:rsidRDefault="007064AD" w:rsidP="008234C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6275" cy="27984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AD" w:rsidRDefault="007064AD" w:rsidP="008234C0">
      <w:pPr>
        <w:pStyle w:val="KeinLeerraum"/>
        <w:rPr>
          <w:rFonts w:ascii="Verdana" w:hAnsi="Verdana"/>
          <w:sz w:val="20"/>
          <w:szCs w:val="20"/>
        </w:rPr>
      </w:pP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 w:rsidRPr="007064AD">
        <w:rPr>
          <w:rFonts w:ascii="Verdana" w:hAnsi="Verdana"/>
          <w:b/>
          <w:bCs/>
          <w:sz w:val="20"/>
          <w:szCs w:val="20"/>
        </w:rPr>
        <w:t>Wachs</w:t>
      </w:r>
      <w:r>
        <w:rPr>
          <w:rFonts w:ascii="Verdana" w:hAnsi="Verdana"/>
          <w:b/>
          <w:bCs/>
          <w:sz w:val="20"/>
          <w:szCs w:val="20"/>
        </w:rPr>
        <w:t>tumskritik (bekannte Beispiele)</w:t>
      </w:r>
      <w:r>
        <w:rPr>
          <w:rFonts w:ascii="Verdana" w:hAnsi="Verdana"/>
          <w:b/>
          <w:bCs/>
          <w:sz w:val="20"/>
          <w:szCs w:val="20"/>
        </w:rPr>
        <w:br/>
      </w:r>
      <w:r w:rsidRPr="007064AD">
        <w:rPr>
          <w:rFonts w:ascii="Verdana" w:hAnsi="Verdana"/>
          <w:b/>
          <w:sz w:val="20"/>
          <w:szCs w:val="20"/>
        </w:rPr>
        <w:t>John Kenneth Galbraith: Die Überflussgesellschaft</w:t>
      </w:r>
      <w:r>
        <w:rPr>
          <w:rFonts w:ascii="Verdana" w:hAnsi="Verdana"/>
          <w:sz w:val="20"/>
          <w:szCs w:val="20"/>
        </w:rPr>
        <w:t>:</w:t>
      </w:r>
      <w:r w:rsidRPr="007064AD">
        <w:rPr>
          <w:rFonts w:ascii="Verdana" w:hAnsi="Verdana"/>
          <w:sz w:val="20"/>
          <w:szCs w:val="20"/>
        </w:rPr>
        <w:t xml:space="preserve"> 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Ö</w:t>
      </w:r>
      <w:r w:rsidRPr="007064AD">
        <w:rPr>
          <w:rFonts w:ascii="Verdana" w:hAnsi="Verdana"/>
          <w:sz w:val="20"/>
          <w:szCs w:val="20"/>
        </w:rPr>
        <w:t xml:space="preserve">konomie inzwischen jenseits der Deckung wirklicher Bedürfnisse 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064AD">
        <w:rPr>
          <w:rFonts w:ascii="Verdana" w:hAnsi="Verdana"/>
          <w:sz w:val="20"/>
          <w:szCs w:val="20"/>
        </w:rPr>
        <w:t>Erzeugung künstliche</w:t>
      </w:r>
      <w:r>
        <w:rPr>
          <w:rFonts w:ascii="Verdana" w:hAnsi="Verdana"/>
          <w:sz w:val="20"/>
          <w:szCs w:val="20"/>
        </w:rPr>
        <w:t>r Bedürfnisse durch Unternehmen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064AD">
        <w:rPr>
          <w:rFonts w:ascii="Verdana" w:hAnsi="Verdana"/>
          <w:sz w:val="20"/>
          <w:szCs w:val="20"/>
        </w:rPr>
        <w:t>GDP falscher Maßstab: ökonomischer Wert verdeckt unterschiedlichen gesellschaftlichen Wert von Erzeug</w:t>
      </w:r>
      <w:r>
        <w:rPr>
          <w:rFonts w:ascii="Verdana" w:hAnsi="Verdana"/>
          <w:sz w:val="20"/>
          <w:szCs w:val="20"/>
        </w:rPr>
        <w:t>nissen und soziale Ungleichheit</w:t>
      </w:r>
      <w:r>
        <w:rPr>
          <w:rFonts w:ascii="Verdana" w:hAnsi="Verdana"/>
          <w:sz w:val="20"/>
          <w:szCs w:val="20"/>
        </w:rPr>
        <w:br/>
      </w:r>
      <w:r w:rsidRPr="007064AD">
        <w:rPr>
          <w:rFonts w:ascii="Verdana" w:hAnsi="Verdana"/>
          <w:b/>
          <w:sz w:val="20"/>
          <w:szCs w:val="20"/>
        </w:rPr>
        <w:t xml:space="preserve">Club </w:t>
      </w:r>
      <w:proofErr w:type="spellStart"/>
      <w:r w:rsidRPr="007064AD">
        <w:rPr>
          <w:rFonts w:ascii="Verdana" w:hAnsi="Verdana"/>
          <w:b/>
          <w:sz w:val="20"/>
          <w:szCs w:val="20"/>
        </w:rPr>
        <w:t>of</w:t>
      </w:r>
      <w:proofErr w:type="spellEnd"/>
      <w:r w:rsidRPr="007064A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064AD">
        <w:rPr>
          <w:rFonts w:ascii="Verdana" w:hAnsi="Verdana"/>
          <w:b/>
          <w:sz w:val="20"/>
          <w:szCs w:val="20"/>
        </w:rPr>
        <w:t>Rome</w:t>
      </w:r>
      <w:proofErr w:type="spellEnd"/>
      <w:r w:rsidRPr="007064AD">
        <w:rPr>
          <w:rFonts w:ascii="Verdana" w:hAnsi="Verdana"/>
          <w:b/>
          <w:sz w:val="20"/>
          <w:szCs w:val="20"/>
        </w:rPr>
        <w:t>: Grenzen des Wachstums</w:t>
      </w:r>
      <w:r>
        <w:rPr>
          <w:rFonts w:ascii="Verdana" w:hAnsi="Verdana"/>
          <w:sz w:val="20"/>
          <w:szCs w:val="20"/>
        </w:rPr>
        <w:t>:</w:t>
      </w:r>
      <w:r w:rsidRPr="007064AD">
        <w:rPr>
          <w:rFonts w:ascii="Verdana" w:hAnsi="Verdana"/>
          <w:sz w:val="20"/>
          <w:szCs w:val="20"/>
        </w:rPr>
        <w:t xml:space="preserve"> 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7064AD">
        <w:rPr>
          <w:rFonts w:ascii="Verdana" w:hAnsi="Verdana"/>
          <w:sz w:val="20"/>
          <w:szCs w:val="20"/>
        </w:rPr>
        <w:t xml:space="preserve">rognostik wirtschaftlicher Entwicklung, Knappheit natürlicher Ressourcen </w:t>
      </w: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064AD">
        <w:rPr>
          <w:rFonts w:ascii="Verdana" w:hAnsi="Verdana" w:cs="Cambria Math"/>
          <w:sz w:val="20"/>
          <w:szCs w:val="20"/>
        </w:rPr>
        <w:t>„Wenn die gegenwärtige Zunahme der Weltbevölkerung, der Industrialisierung, der Umweltverschmutzung, der Nahrungsmittelproduktion und der Ausbeutung von natürlichen Rohstoffen unverändert anhält, werden die absoluten Wachstumsgrenzen auf der Erde im Laufe der n</w:t>
      </w:r>
      <w:r>
        <w:rPr>
          <w:rFonts w:ascii="Verdana" w:hAnsi="Verdana" w:cs="Cambria Math"/>
          <w:sz w:val="20"/>
          <w:szCs w:val="20"/>
        </w:rPr>
        <w:t>ächsten hundert Jahre erreicht.</w:t>
      </w:r>
      <w:r w:rsidRPr="007064AD">
        <w:rPr>
          <w:rFonts w:ascii="Verdana" w:hAnsi="Verdana" w:cs="Cambria Math"/>
          <w:sz w:val="20"/>
          <w:szCs w:val="20"/>
        </w:rPr>
        <w:t>“</w:t>
      </w: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9C30E1" w:rsidRDefault="009C30E1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9C30E1" w:rsidRDefault="009C30E1" w:rsidP="007064AD">
      <w:pPr>
        <w:pStyle w:val="KeinLeerraum"/>
        <w:rPr>
          <w:rFonts w:ascii="Verdana" w:hAnsi="Verdana" w:cs="Cambria Math"/>
          <w:sz w:val="20"/>
          <w:szCs w:val="20"/>
        </w:rPr>
      </w:pPr>
    </w:p>
    <w:p w:rsidR="007064AD" w:rsidRPr="007064AD" w:rsidRDefault="007064AD" w:rsidP="007064AD">
      <w:pPr>
        <w:pStyle w:val="KeinLeerraum"/>
        <w:rPr>
          <w:rFonts w:ascii="Verdana" w:hAnsi="Verdana"/>
          <w:sz w:val="28"/>
          <w:szCs w:val="28"/>
        </w:rPr>
      </w:pPr>
      <w:r w:rsidRPr="007064AD">
        <w:rPr>
          <w:rFonts w:ascii="Verdana" w:hAnsi="Verdana"/>
          <w:sz w:val="28"/>
          <w:szCs w:val="28"/>
        </w:rPr>
        <w:lastRenderedPageBreak/>
        <w:t xml:space="preserve">10.3. </w:t>
      </w:r>
      <w:r w:rsidRPr="007064AD">
        <w:rPr>
          <w:rFonts w:ascii="Verdana" w:hAnsi="Verdana"/>
          <w:b/>
          <w:sz w:val="28"/>
          <w:szCs w:val="28"/>
          <w:u w:val="single"/>
        </w:rPr>
        <w:t>(Politisierte) Entwicklungsökonomie</w:t>
      </w:r>
    </w:p>
    <w:p w:rsidR="007064AD" w:rsidRDefault="007064AD" w:rsidP="007064AD">
      <w:pPr>
        <w:pStyle w:val="KeinLeerraum"/>
        <w:rPr>
          <w:rFonts w:ascii="Verdana" w:hAnsi="Verdana"/>
          <w:b/>
          <w:sz w:val="20"/>
          <w:szCs w:val="20"/>
        </w:rPr>
      </w:pPr>
    </w:p>
    <w:p w:rsidR="007064AD" w:rsidRPr="007064AD" w:rsidRDefault="007064AD" w:rsidP="007064AD">
      <w:pPr>
        <w:pStyle w:val="KeinLeerraum"/>
        <w:rPr>
          <w:rFonts w:ascii="Verdana" w:hAnsi="Verdana"/>
          <w:b/>
          <w:sz w:val="20"/>
          <w:szCs w:val="20"/>
        </w:rPr>
      </w:pPr>
      <w:r w:rsidRPr="007064AD">
        <w:rPr>
          <w:rFonts w:ascii="Verdana" w:hAnsi="Verdana"/>
          <w:b/>
          <w:sz w:val="20"/>
          <w:szCs w:val="20"/>
        </w:rPr>
        <w:t xml:space="preserve">“The West </w:t>
      </w:r>
      <w:proofErr w:type="spellStart"/>
      <w:r w:rsidRPr="007064AD">
        <w:rPr>
          <w:rFonts w:ascii="Verdana" w:hAnsi="Verdana"/>
          <w:b/>
          <w:sz w:val="20"/>
          <w:szCs w:val="20"/>
        </w:rPr>
        <w:t>and</w:t>
      </w:r>
      <w:proofErr w:type="spellEnd"/>
      <w:r w:rsidRPr="007064A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064AD">
        <w:rPr>
          <w:rFonts w:ascii="Verdana" w:hAnsi="Verdana"/>
          <w:b/>
          <w:sz w:val="20"/>
          <w:szCs w:val="20"/>
        </w:rPr>
        <w:t>the</w:t>
      </w:r>
      <w:proofErr w:type="spellEnd"/>
      <w:r w:rsidRPr="007064AD">
        <w:rPr>
          <w:rFonts w:ascii="Verdana" w:hAnsi="Verdana"/>
          <w:b/>
          <w:sz w:val="20"/>
          <w:szCs w:val="20"/>
        </w:rPr>
        <w:t xml:space="preserve"> Rest” 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7064AD">
        <w:rPr>
          <w:rFonts w:ascii="Verdana" w:hAnsi="Verdana"/>
          <w:sz w:val="20"/>
          <w:szCs w:val="20"/>
        </w:rPr>
        <w:t xml:space="preserve">robleme der Anwendung der VGR in den europäischen Kolonien: −wichtige Rolle von Haushalten und familiären Netzwerken 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064AD">
        <w:rPr>
          <w:rFonts w:ascii="Verdana" w:hAnsi="Verdana"/>
          <w:sz w:val="20"/>
          <w:szCs w:val="20"/>
        </w:rPr>
        <w:t>wenig ökonomische Aktiv</w:t>
      </w:r>
      <w:r>
        <w:rPr>
          <w:rFonts w:ascii="Verdana" w:hAnsi="Verdana"/>
          <w:sz w:val="20"/>
          <w:szCs w:val="20"/>
        </w:rPr>
        <w:t xml:space="preserve">itäten über Märkte organisiert 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064AD">
        <w:rPr>
          <w:rFonts w:ascii="Verdana" w:hAnsi="Verdana"/>
          <w:sz w:val="20"/>
          <w:szCs w:val="20"/>
        </w:rPr>
        <w:t>Im Westen als temporäres Problem gesehen: (Post-)Koloniale Ökonomien werden sich bzgl. Form und Leistu</w:t>
      </w:r>
      <w:r>
        <w:rPr>
          <w:rFonts w:ascii="Verdana" w:hAnsi="Verdana"/>
          <w:sz w:val="20"/>
          <w:szCs w:val="20"/>
        </w:rPr>
        <w:t>ng an Industrieländer annähern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</w:t>
      </w:r>
      <w:r w:rsidRPr="007064AD">
        <w:rPr>
          <w:rFonts w:ascii="Verdana" w:hAnsi="Verdana"/>
          <w:sz w:val="20"/>
          <w:szCs w:val="20"/>
        </w:rPr>
        <w:t>ekolonialisierung</w:t>
      </w:r>
      <w:proofErr w:type="spellEnd"/>
      <w:r w:rsidRPr="007064AD">
        <w:rPr>
          <w:rFonts w:ascii="Verdana" w:hAnsi="Verdana"/>
          <w:sz w:val="20"/>
          <w:szCs w:val="20"/>
        </w:rPr>
        <w:t xml:space="preserve"> Asiens und Afrikas in den 1940er, 50er und 60er Jahren </w:t>
      </w:r>
    </w:p>
    <w:p w:rsid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064AD">
        <w:rPr>
          <w:rFonts w:ascii="Verdana" w:hAnsi="Verdana"/>
          <w:sz w:val="20"/>
          <w:szCs w:val="20"/>
        </w:rPr>
        <w:t xml:space="preserve">Neues </w:t>
      </w:r>
      <w:r>
        <w:rPr>
          <w:rFonts w:ascii="Verdana" w:hAnsi="Verdana"/>
          <w:sz w:val="20"/>
          <w:szCs w:val="20"/>
        </w:rPr>
        <w:t xml:space="preserve">Konzept der Entwicklungshilfe: </w:t>
      </w:r>
      <w:r w:rsidRPr="007064AD">
        <w:rPr>
          <w:rFonts w:ascii="Verdana" w:hAnsi="Verdana"/>
          <w:sz w:val="20"/>
          <w:szCs w:val="20"/>
        </w:rPr>
        <w:sym w:font="Wingdings" w:char="F0E0"/>
      </w:r>
      <w:r w:rsidRPr="007064AD">
        <w:rPr>
          <w:rFonts w:ascii="Verdana" w:hAnsi="Verdana"/>
          <w:b/>
          <w:sz w:val="20"/>
          <w:szCs w:val="20"/>
        </w:rPr>
        <w:t>Phase 1</w:t>
      </w:r>
      <w:r w:rsidRPr="007064AD">
        <w:rPr>
          <w:rFonts w:ascii="Verdana" w:hAnsi="Verdana"/>
          <w:sz w:val="20"/>
          <w:szCs w:val="20"/>
        </w:rPr>
        <w:t xml:space="preserve">: Über UNO organisierte Gemeinschaftsaufgabe der Staatenwelt, den Wohlstand der </w:t>
      </w:r>
      <w:proofErr w:type="spellStart"/>
      <w:r w:rsidRPr="007064AD">
        <w:rPr>
          <w:rFonts w:ascii="Verdana" w:hAnsi="Verdana"/>
          <w:sz w:val="20"/>
          <w:szCs w:val="20"/>
        </w:rPr>
        <w:t>dek</w:t>
      </w:r>
      <w:r>
        <w:rPr>
          <w:rFonts w:ascii="Verdana" w:hAnsi="Verdana"/>
          <w:sz w:val="20"/>
          <w:szCs w:val="20"/>
        </w:rPr>
        <w:t>olonialisierten</w:t>
      </w:r>
      <w:proofErr w:type="spellEnd"/>
      <w:r>
        <w:rPr>
          <w:rFonts w:ascii="Verdana" w:hAnsi="Verdana"/>
          <w:sz w:val="20"/>
          <w:szCs w:val="20"/>
        </w:rPr>
        <w:t xml:space="preserve"> Länder zu heben </w:t>
      </w:r>
      <w:r w:rsidRPr="007064AD">
        <w:rPr>
          <w:rFonts w:ascii="Verdana" w:hAnsi="Verdana"/>
          <w:sz w:val="20"/>
          <w:szCs w:val="20"/>
        </w:rPr>
        <w:sym w:font="Wingdings" w:char="F0E0"/>
      </w:r>
      <w:r w:rsidRPr="007064AD">
        <w:rPr>
          <w:rFonts w:ascii="Verdana" w:hAnsi="Verdana"/>
          <w:b/>
          <w:sz w:val="20"/>
          <w:szCs w:val="20"/>
        </w:rPr>
        <w:t>Phase 2</w:t>
      </w:r>
      <w:r w:rsidRPr="007064AD">
        <w:rPr>
          <w:rFonts w:ascii="Verdana" w:hAnsi="Verdana"/>
          <w:sz w:val="20"/>
          <w:szCs w:val="20"/>
        </w:rPr>
        <w:t xml:space="preserve">: ab 1960ern wird Entwicklungshilfe Teil nationaler Außen- und Einflusspolitik (u.a. Kampf der Ersten </w:t>
      </w:r>
      <w:r>
        <w:rPr>
          <w:rFonts w:ascii="Verdana" w:hAnsi="Verdana"/>
          <w:sz w:val="20"/>
          <w:szCs w:val="20"/>
        </w:rPr>
        <w:t>und Zweiten um die Dritte Welt)</w:t>
      </w:r>
    </w:p>
    <w:p w:rsid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</w:p>
    <w:p w:rsidR="007064AD" w:rsidRPr="007064AD" w:rsidRDefault="007064AD" w:rsidP="007064AD">
      <w:pPr>
        <w:pStyle w:val="KeinLeerraum"/>
        <w:rPr>
          <w:rFonts w:ascii="Verdana" w:hAnsi="Verdana"/>
          <w:b/>
          <w:sz w:val="20"/>
          <w:szCs w:val="20"/>
        </w:rPr>
      </w:pPr>
      <w:r w:rsidRPr="007064AD">
        <w:rPr>
          <w:rFonts w:ascii="Verdana" w:hAnsi="Verdana"/>
          <w:b/>
          <w:sz w:val="20"/>
          <w:szCs w:val="20"/>
        </w:rPr>
        <w:t>Walt W. Rostow (1916 – 2003)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 w:rsidRPr="007064AD">
        <w:rPr>
          <w:rFonts w:ascii="Verdana" w:hAnsi="Verdana"/>
          <w:sz w:val="20"/>
          <w:szCs w:val="20"/>
        </w:rPr>
        <w:t xml:space="preserve">Scharfer Antikommunist, Befürworter des Vietnamkriegs 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 w:rsidRPr="007064AD">
        <w:rPr>
          <w:rFonts w:ascii="Verdana" w:hAnsi="Verdana"/>
          <w:sz w:val="20"/>
          <w:szCs w:val="20"/>
        </w:rPr>
        <w:t xml:space="preserve">1960 "The Stages </w:t>
      </w:r>
      <w:proofErr w:type="spellStart"/>
      <w:r w:rsidRPr="007064AD">
        <w:rPr>
          <w:rFonts w:ascii="Verdana" w:hAnsi="Verdana"/>
          <w:sz w:val="20"/>
          <w:szCs w:val="20"/>
        </w:rPr>
        <w:t>of</w:t>
      </w:r>
      <w:proofErr w:type="spellEnd"/>
      <w:r w:rsidRPr="007064AD">
        <w:rPr>
          <w:rFonts w:ascii="Verdana" w:hAnsi="Verdana"/>
          <w:sz w:val="20"/>
          <w:szCs w:val="20"/>
        </w:rPr>
        <w:t xml:space="preserve"> </w:t>
      </w:r>
      <w:proofErr w:type="spellStart"/>
      <w:r w:rsidRPr="007064AD">
        <w:rPr>
          <w:rFonts w:ascii="Verdana" w:hAnsi="Verdana"/>
          <w:sz w:val="20"/>
          <w:szCs w:val="20"/>
        </w:rPr>
        <w:t>Economic</w:t>
      </w:r>
      <w:proofErr w:type="spellEnd"/>
      <w:r w:rsidRPr="007064AD">
        <w:rPr>
          <w:rFonts w:ascii="Verdana" w:hAnsi="Verdana"/>
          <w:sz w:val="20"/>
          <w:szCs w:val="20"/>
        </w:rPr>
        <w:t xml:space="preserve"> Growth: A Non-</w:t>
      </w:r>
      <w:proofErr w:type="spellStart"/>
      <w:r w:rsidRPr="007064AD">
        <w:rPr>
          <w:rFonts w:ascii="Verdana" w:hAnsi="Verdana"/>
          <w:sz w:val="20"/>
          <w:szCs w:val="20"/>
        </w:rPr>
        <w:t>Communist</w:t>
      </w:r>
      <w:proofErr w:type="spellEnd"/>
      <w:r w:rsidRPr="007064AD">
        <w:rPr>
          <w:rFonts w:ascii="Verdana" w:hAnsi="Verdana"/>
          <w:sz w:val="20"/>
          <w:szCs w:val="20"/>
        </w:rPr>
        <w:t xml:space="preserve"> </w:t>
      </w:r>
      <w:proofErr w:type="spellStart"/>
      <w:r w:rsidRPr="007064AD">
        <w:rPr>
          <w:rFonts w:ascii="Verdana" w:hAnsi="Verdana"/>
          <w:sz w:val="20"/>
          <w:szCs w:val="20"/>
        </w:rPr>
        <w:t>Manifesto</w:t>
      </w:r>
      <w:proofErr w:type="spellEnd"/>
      <w:r w:rsidRPr="007064AD">
        <w:rPr>
          <w:rFonts w:ascii="Verdana" w:hAnsi="Verdana"/>
          <w:sz w:val="20"/>
          <w:szCs w:val="20"/>
        </w:rPr>
        <w:t xml:space="preserve">" </w:t>
      </w:r>
    </w:p>
    <w:p w:rsidR="007064AD" w:rsidRP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</w:p>
    <w:p w:rsidR="007064AD" w:rsidRDefault="007064AD" w:rsidP="007064AD">
      <w:pPr>
        <w:pStyle w:val="KeinLeerraum"/>
        <w:rPr>
          <w:rFonts w:ascii="Verdana" w:hAnsi="Verdana"/>
          <w:sz w:val="20"/>
          <w:szCs w:val="20"/>
        </w:rPr>
      </w:pPr>
      <w:r w:rsidRPr="007064AD">
        <w:rPr>
          <w:rFonts w:ascii="Verdana" w:hAnsi="Verdana"/>
          <w:b/>
          <w:sz w:val="20"/>
          <w:szCs w:val="20"/>
        </w:rPr>
        <w:t>Stadien wirtschaftlichen Wachstums nach Walt W. Rostow</w:t>
      </w:r>
      <w:r>
        <w:rPr>
          <w:rFonts w:ascii="Verdana" w:hAnsi="Verdana"/>
          <w:sz w:val="20"/>
          <w:szCs w:val="20"/>
        </w:rPr>
        <w:br/>
      </w:r>
      <w:r w:rsidRPr="007064AD">
        <w:rPr>
          <w:rFonts w:ascii="Verdana" w:hAnsi="Verdana"/>
          <w:sz w:val="20"/>
          <w:szCs w:val="20"/>
          <w:u w:val="single"/>
        </w:rPr>
        <w:t>1. Traditionelle Gesellschaft</w:t>
      </w:r>
      <w:r>
        <w:rPr>
          <w:rFonts w:ascii="Verdana" w:hAnsi="Verdana"/>
          <w:sz w:val="20"/>
          <w:szCs w:val="20"/>
        </w:rPr>
        <w:t xml:space="preserve">: </w:t>
      </w:r>
      <w:r w:rsidRPr="007064AD">
        <w:rPr>
          <w:rFonts w:ascii="Verdana" w:hAnsi="Verdana"/>
          <w:sz w:val="20"/>
          <w:szCs w:val="20"/>
        </w:rPr>
        <w:t>geringe Produktivität und technisches Verstä</w:t>
      </w:r>
      <w:r>
        <w:rPr>
          <w:rFonts w:ascii="Verdana" w:hAnsi="Verdana"/>
          <w:sz w:val="20"/>
          <w:szCs w:val="20"/>
        </w:rPr>
        <w:t>ndnis, Landwirtschaft dominiert.</w:t>
      </w:r>
      <w:r>
        <w:rPr>
          <w:rFonts w:ascii="Verdana" w:hAnsi="Verdana"/>
          <w:sz w:val="20"/>
          <w:szCs w:val="20"/>
        </w:rPr>
        <w:br/>
      </w:r>
      <w:r w:rsidR="003B3CAE" w:rsidRPr="003B3CAE">
        <w:rPr>
          <w:rFonts w:ascii="Verdana" w:hAnsi="Verdana"/>
          <w:sz w:val="20"/>
          <w:szCs w:val="20"/>
          <w:u w:val="single"/>
        </w:rPr>
        <w:t>2. Übergangsgesellschaft</w:t>
      </w:r>
      <w:r w:rsidR="003B3CAE">
        <w:rPr>
          <w:rFonts w:ascii="Verdana" w:hAnsi="Verdana"/>
          <w:sz w:val="20"/>
          <w:szCs w:val="20"/>
        </w:rPr>
        <w:t>:</w:t>
      </w:r>
      <w:r w:rsidRPr="007064AD">
        <w:rPr>
          <w:rFonts w:ascii="Verdana" w:hAnsi="Verdana"/>
          <w:sz w:val="20"/>
          <w:szCs w:val="20"/>
        </w:rPr>
        <w:t xml:space="preserve"> kleiner industrieller Sektor</w:t>
      </w:r>
      <w:r w:rsidR="003B3CAE">
        <w:rPr>
          <w:rFonts w:ascii="Verdana" w:hAnsi="Verdana"/>
          <w:sz w:val="20"/>
          <w:szCs w:val="20"/>
        </w:rPr>
        <w:t>, Technikwissen entwickelt sich.</w:t>
      </w:r>
      <w:r w:rsidR="003B3CAE">
        <w:rPr>
          <w:rFonts w:ascii="Verdana" w:hAnsi="Verdana"/>
          <w:sz w:val="20"/>
          <w:szCs w:val="20"/>
        </w:rPr>
        <w:br/>
      </w:r>
      <w:r w:rsidRPr="003B3CAE">
        <w:rPr>
          <w:rFonts w:ascii="Verdana" w:hAnsi="Verdana"/>
          <w:sz w:val="20"/>
          <w:szCs w:val="20"/>
          <w:u w:val="single"/>
        </w:rPr>
        <w:t>3. Periode des ‚</w:t>
      </w:r>
      <w:proofErr w:type="spellStart"/>
      <w:r w:rsidRPr="003B3CAE">
        <w:rPr>
          <w:rFonts w:ascii="Verdana" w:hAnsi="Verdana"/>
          <w:sz w:val="20"/>
          <w:szCs w:val="20"/>
          <w:u w:val="single"/>
        </w:rPr>
        <w:t>take-off</w:t>
      </w:r>
      <w:proofErr w:type="spellEnd"/>
      <w:r w:rsidRPr="003B3CAE">
        <w:rPr>
          <w:rFonts w:ascii="Verdana" w:hAnsi="Verdana"/>
          <w:sz w:val="20"/>
          <w:szCs w:val="20"/>
          <w:u w:val="single"/>
        </w:rPr>
        <w:t>‘</w:t>
      </w:r>
      <w:r w:rsidR="003B3CAE">
        <w:rPr>
          <w:rFonts w:ascii="Verdana" w:hAnsi="Verdana"/>
          <w:sz w:val="20"/>
          <w:szCs w:val="20"/>
        </w:rPr>
        <w:t>:</w:t>
      </w:r>
      <w:r w:rsidRPr="007064AD">
        <w:rPr>
          <w:rFonts w:ascii="Verdana" w:hAnsi="Verdana"/>
          <w:sz w:val="20"/>
          <w:szCs w:val="20"/>
        </w:rPr>
        <w:t xml:space="preserve"> – rasches Wachstum des sekundären Sektors; neue Rohstoffquellen und Produktionsmethoden; (Re-)Investitionen entsprechen ü</w:t>
      </w:r>
      <w:r w:rsidR="003B3CAE">
        <w:rPr>
          <w:rFonts w:ascii="Verdana" w:hAnsi="Verdana"/>
          <w:sz w:val="20"/>
          <w:szCs w:val="20"/>
        </w:rPr>
        <w:t>ber 10% der Wirtschaftsleistung.</w:t>
      </w:r>
      <w:r w:rsidR="003B3CAE">
        <w:rPr>
          <w:rFonts w:ascii="Verdana" w:hAnsi="Verdana"/>
          <w:sz w:val="20"/>
          <w:szCs w:val="20"/>
        </w:rPr>
        <w:br/>
      </w:r>
      <w:r w:rsidR="003B3CAE" w:rsidRPr="003B3CAE">
        <w:rPr>
          <w:rFonts w:ascii="Verdana" w:hAnsi="Verdana"/>
          <w:sz w:val="20"/>
          <w:szCs w:val="20"/>
          <w:u w:val="single"/>
        </w:rPr>
        <w:t>4. Zunehmende Reife</w:t>
      </w:r>
      <w:r w:rsidR="003B3CAE">
        <w:rPr>
          <w:rFonts w:ascii="Verdana" w:hAnsi="Verdana"/>
          <w:sz w:val="20"/>
          <w:szCs w:val="20"/>
        </w:rPr>
        <w:t>:</w:t>
      </w:r>
      <w:r w:rsidRPr="007064AD">
        <w:rPr>
          <w:rFonts w:ascii="Verdana" w:hAnsi="Verdana"/>
          <w:sz w:val="20"/>
          <w:szCs w:val="20"/>
        </w:rPr>
        <w:t xml:space="preserve"> Wachstum greift auf ganze Wirtschaft über; Gesellschaft ‚denkt‘ technisch-rational (Qua</w:t>
      </w:r>
      <w:r w:rsidR="003B3CAE">
        <w:rPr>
          <w:rFonts w:ascii="Verdana" w:hAnsi="Verdana"/>
          <w:sz w:val="20"/>
          <w:szCs w:val="20"/>
        </w:rPr>
        <w:t>lifikation/Bildung/Arbeitswelt)</w:t>
      </w:r>
      <w:r w:rsidR="003B3CAE">
        <w:rPr>
          <w:rFonts w:ascii="Verdana" w:hAnsi="Verdana"/>
          <w:sz w:val="20"/>
          <w:szCs w:val="20"/>
        </w:rPr>
        <w:br/>
      </w:r>
      <w:r w:rsidRPr="003B3CAE">
        <w:rPr>
          <w:rFonts w:ascii="Verdana" w:hAnsi="Verdana"/>
          <w:sz w:val="20"/>
          <w:szCs w:val="20"/>
          <w:u w:val="single"/>
        </w:rPr>
        <w:t>5. D</w:t>
      </w:r>
      <w:r w:rsidR="003B3CAE" w:rsidRPr="003B3CAE">
        <w:rPr>
          <w:rFonts w:ascii="Verdana" w:hAnsi="Verdana"/>
          <w:sz w:val="20"/>
          <w:szCs w:val="20"/>
          <w:u w:val="single"/>
        </w:rPr>
        <w:t>as Zeitalter des Massenkonsums</w:t>
      </w:r>
      <w:r w:rsidR="003B3CAE">
        <w:rPr>
          <w:rFonts w:ascii="Verdana" w:hAnsi="Verdana"/>
          <w:sz w:val="20"/>
          <w:szCs w:val="20"/>
        </w:rPr>
        <w:t>:</w:t>
      </w:r>
      <w:r w:rsidRPr="007064AD">
        <w:rPr>
          <w:rFonts w:ascii="Verdana" w:hAnsi="Verdana"/>
          <w:sz w:val="20"/>
          <w:szCs w:val="20"/>
        </w:rPr>
        <w:t xml:space="preserve"> gesteigertes Realeinkommen erlaubt differenzierten Konsum; Dienstleistungssektor drängt Industrie zurück</w:t>
      </w:r>
      <w:r w:rsidR="003B3CAE">
        <w:rPr>
          <w:rFonts w:ascii="Verdana" w:hAnsi="Verdana"/>
          <w:sz w:val="20"/>
          <w:szCs w:val="20"/>
        </w:rPr>
        <w:t>.</w:t>
      </w:r>
    </w:p>
    <w:p w:rsidR="003B3CAE" w:rsidRDefault="003B3CAE" w:rsidP="007064AD">
      <w:pPr>
        <w:pStyle w:val="KeinLeerraum"/>
        <w:rPr>
          <w:rFonts w:ascii="Verdana" w:hAnsi="Verdana"/>
          <w:sz w:val="20"/>
          <w:szCs w:val="20"/>
        </w:rPr>
      </w:pPr>
    </w:p>
    <w:p w:rsidR="003B3CAE" w:rsidRPr="003B3CAE" w:rsidRDefault="003B3CAE" w:rsidP="003B3CAE">
      <w:pPr>
        <w:pStyle w:val="KeinLeerraum"/>
        <w:rPr>
          <w:rFonts w:ascii="Verdana" w:hAnsi="Verdana"/>
          <w:b/>
          <w:sz w:val="20"/>
          <w:szCs w:val="20"/>
        </w:rPr>
      </w:pPr>
      <w:r w:rsidRPr="003B3CAE">
        <w:rPr>
          <w:rFonts w:ascii="Verdana" w:hAnsi="Verdana"/>
          <w:b/>
          <w:sz w:val="20"/>
          <w:szCs w:val="20"/>
        </w:rPr>
        <w:t xml:space="preserve">Rostows Modernisierungstheorie 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</w:t>
      </w:r>
      <w:r w:rsidRPr="003B3CAE">
        <w:rPr>
          <w:rFonts w:ascii="Verdana" w:hAnsi="Verdana"/>
          <w:sz w:val="20"/>
          <w:szCs w:val="20"/>
        </w:rPr>
        <w:t xml:space="preserve">ostow: </w:t>
      </w:r>
      <w:proofErr w:type="spellStart"/>
      <w:r w:rsidRPr="003B3CAE">
        <w:rPr>
          <w:rFonts w:ascii="Verdana" w:hAnsi="Verdana"/>
          <w:sz w:val="20"/>
          <w:szCs w:val="20"/>
        </w:rPr>
        <w:t>Stadienmodell</w:t>
      </w:r>
      <w:proofErr w:type="spellEnd"/>
      <w:r w:rsidRPr="003B3CAE">
        <w:rPr>
          <w:rFonts w:ascii="Verdana" w:hAnsi="Verdana"/>
          <w:sz w:val="20"/>
          <w:szCs w:val="20"/>
        </w:rPr>
        <w:t xml:space="preserve"> ist historisch beobachtet, sei aber universell gültig 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B3CAE">
        <w:rPr>
          <w:rFonts w:ascii="Verdana" w:hAnsi="Verdana"/>
          <w:sz w:val="20"/>
          <w:szCs w:val="20"/>
        </w:rPr>
        <w:t xml:space="preserve">Entwicklungsschwäche der „Dritten Welt“ wegen innerer Hemmnisse: schwacher Staat, Rechtsunsicherheit, Korruption, schwache Infrastruktur, fehlende kommerzielle Gesinnung 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B3CAE">
        <w:rPr>
          <w:rFonts w:ascii="Verdana" w:hAnsi="Verdana"/>
          <w:sz w:val="20"/>
          <w:szCs w:val="20"/>
        </w:rPr>
        <w:t xml:space="preserve">Schritt in die Übergangsgesellschaft (Phase 2) durch externe Intervention und Entwicklungshilfe 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B3CAE">
        <w:rPr>
          <w:rFonts w:ascii="Verdana" w:hAnsi="Verdana"/>
          <w:sz w:val="20"/>
          <w:szCs w:val="20"/>
        </w:rPr>
        <w:t xml:space="preserve">Rostows Ansatz Teil der ‚Modernisierungstheorien‘: endogener Strang der Entwicklungstheorien </w:t>
      </w:r>
    </w:p>
    <w:p w:rsid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B3CAE">
        <w:rPr>
          <w:rFonts w:ascii="Verdana" w:hAnsi="Verdana"/>
          <w:sz w:val="20"/>
          <w:szCs w:val="20"/>
        </w:rPr>
        <w:t>Leitmotiv für konservative bzw. wirtschaftsliberale ‚Weltwirtschaftspolitik‘: Entwicklungshil</w:t>
      </w:r>
      <w:r>
        <w:rPr>
          <w:rFonts w:ascii="Verdana" w:hAnsi="Verdana"/>
          <w:sz w:val="20"/>
          <w:szCs w:val="20"/>
        </w:rPr>
        <w:t>fe, Strukturanpassungsprogramme.</w:t>
      </w:r>
    </w:p>
    <w:p w:rsid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</w:p>
    <w:p w:rsidR="003B3CAE" w:rsidRPr="003B3CAE" w:rsidRDefault="003B3CAE" w:rsidP="003B3CAE">
      <w:pPr>
        <w:pStyle w:val="KeinLeerraum"/>
        <w:rPr>
          <w:rFonts w:ascii="Verdana" w:hAnsi="Verdana"/>
          <w:b/>
          <w:sz w:val="20"/>
          <w:szCs w:val="20"/>
        </w:rPr>
      </w:pPr>
      <w:r w:rsidRPr="003B3CAE">
        <w:rPr>
          <w:rFonts w:ascii="Verdana" w:hAnsi="Verdana"/>
          <w:b/>
          <w:sz w:val="20"/>
          <w:szCs w:val="20"/>
        </w:rPr>
        <w:t xml:space="preserve">Raúl </w:t>
      </w:r>
      <w:proofErr w:type="spellStart"/>
      <w:r w:rsidRPr="003B3CAE">
        <w:rPr>
          <w:rFonts w:ascii="Verdana" w:hAnsi="Verdana"/>
          <w:b/>
          <w:sz w:val="20"/>
          <w:szCs w:val="20"/>
        </w:rPr>
        <w:t>Prebisch</w:t>
      </w:r>
      <w:proofErr w:type="spellEnd"/>
      <w:r w:rsidRPr="003B3CAE">
        <w:rPr>
          <w:rFonts w:ascii="Verdana" w:hAnsi="Verdana"/>
          <w:b/>
          <w:sz w:val="20"/>
          <w:szCs w:val="20"/>
        </w:rPr>
        <w:t xml:space="preserve"> (1901 – 1986) </w:t>
      </w:r>
    </w:p>
    <w:p w:rsidR="003B3CAE" w:rsidRDefault="003B3CAE" w:rsidP="007064AD">
      <w:pPr>
        <w:pStyle w:val="KeinLeerraum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3B3CAE">
        <w:rPr>
          <w:rFonts w:ascii="Verdana" w:hAnsi="Verdana"/>
          <w:sz w:val="20"/>
          <w:szCs w:val="20"/>
        </w:rPr>
        <w:t xml:space="preserve">rägte Konzept der strukturalistischen Wirtschaftspolitik: </w:t>
      </w:r>
      <w:r w:rsidRPr="003B3CAE">
        <w:rPr>
          <w:rFonts w:ascii="Verdana" w:hAnsi="Verdana"/>
          <w:i/>
          <w:iCs/>
          <w:sz w:val="20"/>
          <w:szCs w:val="20"/>
        </w:rPr>
        <w:t>weltwirtschaftliche P</w:t>
      </w:r>
      <w:r>
        <w:rPr>
          <w:rFonts w:ascii="Verdana" w:hAnsi="Verdana"/>
          <w:i/>
          <w:iCs/>
          <w:sz w:val="20"/>
          <w:szCs w:val="20"/>
        </w:rPr>
        <w:t xml:space="preserve">eripherie folgt eigenen </w:t>
      </w:r>
      <w:proofErr w:type="spellStart"/>
      <w:r>
        <w:rPr>
          <w:rFonts w:ascii="Verdana" w:hAnsi="Verdana"/>
          <w:i/>
          <w:iCs/>
          <w:sz w:val="20"/>
          <w:szCs w:val="20"/>
        </w:rPr>
        <w:t>Logiken</w:t>
      </w:r>
      <w:proofErr w:type="spellEnd"/>
      <w:r>
        <w:rPr>
          <w:rFonts w:ascii="Verdana" w:hAnsi="Verdana"/>
          <w:i/>
          <w:iCs/>
          <w:sz w:val="20"/>
          <w:szCs w:val="20"/>
        </w:rPr>
        <w:t>.</w:t>
      </w:r>
    </w:p>
    <w:p w:rsidR="003B3CAE" w:rsidRDefault="003B3CAE" w:rsidP="003B3C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Prebisch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>-Singer-These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br/>
        <w:t xml:space="preserve">- </w:t>
      </w:r>
      <w:r w:rsidRPr="003B3CAE">
        <w:rPr>
          <w:rFonts w:ascii="Verdana" w:hAnsi="Verdana" w:cs="Calibri"/>
          <w:color w:val="000000"/>
          <w:sz w:val="20"/>
          <w:szCs w:val="20"/>
        </w:rPr>
        <w:t xml:space="preserve">Weltwirtschaftliche Arbeitsteilung: Zentrum auf Gewerbeprodukte, Peripherie auf Primärgüter spezialisiert – nach Ricardo vorteilhaft </w:t>
      </w:r>
      <w:r>
        <w:rPr>
          <w:rFonts w:ascii="Verdana" w:hAnsi="Verdana" w:cs="Calibri"/>
          <w:color w:val="000000"/>
          <w:sz w:val="20"/>
          <w:szCs w:val="20"/>
        </w:rPr>
        <w:br/>
        <w:t xml:space="preserve">- </w:t>
      </w:r>
      <w:r w:rsidRPr="003B3CAE">
        <w:rPr>
          <w:rFonts w:ascii="Verdana" w:hAnsi="Verdana" w:cs="Calibri"/>
          <w:color w:val="000000"/>
          <w:sz w:val="20"/>
          <w:szCs w:val="20"/>
        </w:rPr>
        <w:t xml:space="preserve">Aber These: Preise für Primärgüter bleiben hinter Preisen für Industriegütern zurück (u.a. letztere stärker </w:t>
      </w:r>
      <w:r>
        <w:rPr>
          <w:rFonts w:ascii="Verdana" w:hAnsi="Verdana" w:cs="Calibri"/>
          <w:color w:val="000000"/>
          <w:sz w:val="20"/>
          <w:szCs w:val="20"/>
        </w:rPr>
        <w:t xml:space="preserve">nachgefragt,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Engelsches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Gesetz)</w:t>
      </w:r>
      <w:r>
        <w:rPr>
          <w:rFonts w:ascii="Verdana" w:hAnsi="Verdana" w:cs="Calibri"/>
          <w:color w:val="000000"/>
          <w:sz w:val="20"/>
          <w:szCs w:val="20"/>
        </w:rPr>
        <w:br/>
        <w:t xml:space="preserve">- </w:t>
      </w:r>
      <w:r w:rsidRPr="003B3CAE">
        <w:rPr>
          <w:rFonts w:ascii="Verdana" w:hAnsi="Verdana" w:cs="Calibri"/>
          <w:color w:val="000000"/>
          <w:sz w:val="20"/>
          <w:szCs w:val="20"/>
        </w:rPr>
        <w:t xml:space="preserve">demnach säkulare Verschlechterung der Terms </w:t>
      </w:r>
      <w:proofErr w:type="spellStart"/>
      <w:r w:rsidRPr="003B3CAE">
        <w:rPr>
          <w:rFonts w:ascii="Verdana" w:hAnsi="Verdana" w:cs="Calibri"/>
          <w:color w:val="000000"/>
          <w:sz w:val="20"/>
          <w:szCs w:val="20"/>
        </w:rPr>
        <w:t>of</w:t>
      </w:r>
      <w:proofErr w:type="spellEnd"/>
      <w:r w:rsidRPr="003B3CAE">
        <w:rPr>
          <w:rFonts w:ascii="Verdana" w:hAnsi="Verdana" w:cs="Calibri"/>
          <w:color w:val="000000"/>
          <w:sz w:val="20"/>
          <w:szCs w:val="20"/>
        </w:rPr>
        <w:t xml:space="preserve"> Trade, Peripherie </w:t>
      </w:r>
      <w:r>
        <w:rPr>
          <w:rFonts w:ascii="Verdana" w:hAnsi="Verdana" w:cs="Calibri"/>
          <w:color w:val="000000"/>
          <w:sz w:val="20"/>
          <w:szCs w:val="20"/>
        </w:rPr>
        <w:t>fällt in der Entwicklung zurück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3B3CAE">
        <w:rPr>
          <w:rFonts w:ascii="Verdana" w:hAnsi="Verdana" w:cs="Calibri"/>
          <w:color w:val="000000"/>
          <w:sz w:val="20"/>
          <w:szCs w:val="20"/>
        </w:rPr>
        <w:sym w:font="Wingdings" w:char="F0E0"/>
      </w:r>
      <w:r w:rsidRPr="003B3CAE">
        <w:rPr>
          <w:rFonts w:ascii="Verdana" w:hAnsi="Verdana" w:cs="Calibri"/>
          <w:color w:val="000000"/>
          <w:sz w:val="20"/>
          <w:szCs w:val="20"/>
        </w:rPr>
        <w:t>anhaltender Strei</w:t>
      </w:r>
      <w:r>
        <w:rPr>
          <w:rFonts w:ascii="Verdana" w:hAnsi="Verdana" w:cs="Calibri"/>
          <w:color w:val="000000"/>
          <w:sz w:val="20"/>
          <w:szCs w:val="20"/>
        </w:rPr>
        <w:t>t um empirische Stichhaltigkeit.</w:t>
      </w:r>
    </w:p>
    <w:p w:rsidR="003B3CAE" w:rsidRDefault="003B3CAE" w:rsidP="003B3C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3B3CAE" w:rsidRDefault="003B3CAE" w:rsidP="003B3C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3B3CAE" w:rsidRDefault="003B3CAE" w:rsidP="003B3C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3B3CAE" w:rsidRDefault="003B3CAE" w:rsidP="003B3C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3B3CAE" w:rsidRDefault="003B3CAE" w:rsidP="003B3C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3B3CAE" w:rsidRDefault="003B3CAE" w:rsidP="003B3C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 w:rsidRPr="003B3CAE">
        <w:rPr>
          <w:rFonts w:ascii="Verdana" w:hAnsi="Verdana"/>
          <w:b/>
          <w:sz w:val="20"/>
          <w:szCs w:val="20"/>
        </w:rPr>
        <w:t>Exogene Entwicklungstheorie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3B3CAE">
        <w:rPr>
          <w:rFonts w:ascii="Verdana" w:hAnsi="Verdana"/>
          <w:sz w:val="20"/>
          <w:szCs w:val="20"/>
        </w:rPr>
        <w:t xml:space="preserve">usgehend von </w:t>
      </w:r>
      <w:proofErr w:type="spellStart"/>
      <w:r w:rsidRPr="003B3CAE">
        <w:rPr>
          <w:rFonts w:ascii="Verdana" w:hAnsi="Verdana"/>
          <w:sz w:val="20"/>
          <w:szCs w:val="20"/>
        </w:rPr>
        <w:t>Prebisch</w:t>
      </w:r>
      <w:proofErr w:type="spellEnd"/>
      <w:r w:rsidRPr="003B3CAE">
        <w:rPr>
          <w:rFonts w:ascii="Verdana" w:hAnsi="Verdana"/>
          <w:sz w:val="20"/>
          <w:szCs w:val="20"/>
        </w:rPr>
        <w:t xml:space="preserve">-Singer-These: Strukturalistische Wirtschaftspolitik 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B3CAE">
        <w:rPr>
          <w:rFonts w:ascii="Verdana" w:hAnsi="Verdana"/>
          <w:sz w:val="20"/>
          <w:szCs w:val="20"/>
        </w:rPr>
        <w:t>Verstärkung der Importsubstituierenden Industri</w:t>
      </w:r>
      <w:r>
        <w:rPr>
          <w:rFonts w:ascii="Verdana" w:hAnsi="Verdana"/>
          <w:sz w:val="20"/>
          <w:szCs w:val="20"/>
        </w:rPr>
        <w:t>alisierung (ISI) Lateinamerikas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B3CAE">
        <w:rPr>
          <w:rFonts w:ascii="Verdana" w:hAnsi="Verdana"/>
          <w:sz w:val="20"/>
          <w:szCs w:val="20"/>
        </w:rPr>
        <w:t xml:space="preserve">Ab 1970ern Strategie des ungleichgewichtigen Wachstum (knappes Kapital, Fokussierung auf Investition in Schlüsselindustrien) 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B3CAE">
        <w:rPr>
          <w:rFonts w:ascii="Verdana" w:hAnsi="Verdana"/>
          <w:sz w:val="20"/>
          <w:szCs w:val="20"/>
        </w:rPr>
        <w:t xml:space="preserve">Theoretische Unterfütterung: </w:t>
      </w:r>
      <w:r w:rsidRPr="003B3CAE">
        <w:rPr>
          <w:rFonts w:ascii="Verdana" w:hAnsi="Verdana"/>
          <w:b/>
          <w:sz w:val="20"/>
          <w:szCs w:val="20"/>
        </w:rPr>
        <w:t>Dependenztheorie</w:t>
      </w:r>
      <w:r>
        <w:rPr>
          <w:rFonts w:ascii="Verdana" w:hAnsi="Verdana"/>
          <w:sz w:val="20"/>
          <w:szCs w:val="20"/>
        </w:rPr>
        <w:t>:</w:t>
      </w:r>
      <w:r w:rsidRPr="003B3CAE">
        <w:rPr>
          <w:rFonts w:ascii="Verdana" w:hAnsi="Verdana"/>
          <w:sz w:val="20"/>
          <w:szCs w:val="20"/>
        </w:rPr>
        <w:t xml:space="preserve"> 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 w:rsidRPr="003B3CAE">
        <w:rPr>
          <w:rFonts w:ascii="Verdana" w:hAnsi="Verdana"/>
          <w:sz w:val="20"/>
          <w:szCs w:val="20"/>
        </w:rPr>
        <w:sym w:font="Wingdings" w:char="F0E0"/>
      </w:r>
      <w:r w:rsidRPr="003B3CAE">
        <w:rPr>
          <w:rFonts w:ascii="Verdana" w:hAnsi="Verdana"/>
          <w:sz w:val="20"/>
          <w:szCs w:val="20"/>
        </w:rPr>
        <w:t xml:space="preserve">Spielart exogener Entwicklungstheorie, d.h. Entwicklungsschwäche durch unverschuldete äußere Zwänge und Einflüsse verursacht </w:t>
      </w:r>
    </w:p>
    <w:p w:rsid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 w:rsidRPr="003B3CAE">
        <w:rPr>
          <w:rFonts w:ascii="Verdana" w:hAnsi="Verdana"/>
          <w:sz w:val="20"/>
          <w:szCs w:val="20"/>
        </w:rPr>
        <w:sym w:font="Wingdings" w:char="F0E0"/>
      </w:r>
      <w:r w:rsidRPr="003B3CAE">
        <w:rPr>
          <w:rFonts w:ascii="Verdana" w:hAnsi="Verdana"/>
          <w:sz w:val="20"/>
          <w:szCs w:val="20"/>
        </w:rPr>
        <w:t>Ab 1970er verschärft: kontinuierlicher historischer Prozess erst kolonialer und dann informell-imperialer Fremdbestimmung durch das Zentrum („Entw</w:t>
      </w:r>
      <w:r>
        <w:rPr>
          <w:rFonts w:ascii="Verdana" w:hAnsi="Verdana"/>
          <w:sz w:val="20"/>
          <w:szCs w:val="20"/>
        </w:rPr>
        <w:t>icklung der Unterentwicklung“).</w:t>
      </w:r>
    </w:p>
    <w:p w:rsid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</w:p>
    <w:p w:rsidR="003B3CAE" w:rsidRPr="003B3CAE" w:rsidRDefault="003B3CAE" w:rsidP="003B3CAE">
      <w:pPr>
        <w:pStyle w:val="KeinLeerraum"/>
        <w:rPr>
          <w:rFonts w:ascii="Verdana" w:hAnsi="Verdana"/>
          <w:b/>
          <w:sz w:val="20"/>
          <w:szCs w:val="20"/>
        </w:rPr>
      </w:pPr>
      <w:r w:rsidRPr="003B3CAE">
        <w:rPr>
          <w:rFonts w:ascii="Verdana" w:hAnsi="Verdana"/>
          <w:b/>
          <w:sz w:val="20"/>
          <w:szCs w:val="20"/>
        </w:rPr>
        <w:t xml:space="preserve">Weitere Entwicklung der Entwicklungsökonomie </w:t>
      </w: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</w:t>
      </w:r>
      <w:r w:rsidRPr="003B3CAE">
        <w:rPr>
          <w:rFonts w:ascii="Verdana" w:hAnsi="Verdana"/>
          <w:sz w:val="20"/>
          <w:szCs w:val="20"/>
        </w:rPr>
        <w:t xml:space="preserve">odernisierungs- und Dependenztheorien wegen ihrer Monokausalität aus der Mode: moderne Entwicklungstheorie argumentiert multikausal, endogene und exogene Faktoren spielen zusammen </w:t>
      </w:r>
    </w:p>
    <w:p w:rsidR="003B3CAE" w:rsidRPr="003B3CAE" w:rsidRDefault="009C30E1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3B3CAE" w:rsidRPr="003B3CAE">
        <w:rPr>
          <w:rFonts w:ascii="Verdana" w:hAnsi="Verdana"/>
          <w:sz w:val="20"/>
          <w:szCs w:val="20"/>
        </w:rPr>
        <w:t xml:space="preserve">Mehr situative Analysen, weniger Generalisierungen, damit auch weniger krasse Politisierung / Vereinnahmung der Entwicklungsökonomie </w:t>
      </w:r>
    </w:p>
    <w:p w:rsidR="003B3CAE" w:rsidRPr="003B3CAE" w:rsidRDefault="009C30E1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3B3CAE" w:rsidRPr="003B3CAE">
        <w:rPr>
          <w:rFonts w:ascii="Verdana" w:hAnsi="Verdana"/>
          <w:sz w:val="20"/>
          <w:szCs w:val="20"/>
        </w:rPr>
        <w:t xml:space="preserve">Abkehr von enger ökonomischer Wachstumsorientierung; Aufmerksamkeit für Bildungs- und Gesundheitssektor, zunehmend Umwelt </w:t>
      </w:r>
    </w:p>
    <w:p w:rsidR="003B3CAE" w:rsidRPr="003B3CAE" w:rsidRDefault="009C30E1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3B3CAE" w:rsidRPr="003B3CAE">
        <w:rPr>
          <w:rFonts w:ascii="Verdana" w:hAnsi="Verdana"/>
          <w:sz w:val="20"/>
          <w:szCs w:val="20"/>
        </w:rPr>
        <w:t xml:space="preserve">U.a. breitere Abbildung des Lebensstandards durch neue Kennziffer: Erweiterung des BIP p.c. um zwei Indikatoren zu Bildungschancen und Lebenserwartung -&gt; Human Development Index (ab 1990) </w:t>
      </w:r>
    </w:p>
    <w:p w:rsidR="003B3CAE" w:rsidRDefault="009C30E1" w:rsidP="003B3CA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3B3CAE" w:rsidRPr="003B3CAE">
        <w:rPr>
          <w:rFonts w:ascii="Verdana" w:hAnsi="Verdana"/>
          <w:sz w:val="20"/>
          <w:szCs w:val="20"/>
        </w:rPr>
        <w:t xml:space="preserve">Theo. Grundlage des HDI: </w:t>
      </w:r>
      <w:proofErr w:type="spellStart"/>
      <w:r w:rsidR="003B3CAE" w:rsidRPr="003B3CAE">
        <w:rPr>
          <w:rFonts w:ascii="Verdana" w:hAnsi="Verdana"/>
          <w:sz w:val="20"/>
          <w:szCs w:val="20"/>
        </w:rPr>
        <w:t>Amartya</w:t>
      </w:r>
      <w:proofErr w:type="spellEnd"/>
      <w:r w:rsidR="003B3CAE" w:rsidRPr="003B3CAE">
        <w:rPr>
          <w:rFonts w:ascii="Verdana" w:hAnsi="Verdana"/>
          <w:sz w:val="20"/>
          <w:szCs w:val="20"/>
        </w:rPr>
        <w:t xml:space="preserve"> Sen (-&gt; Wo</w:t>
      </w:r>
      <w:r>
        <w:rPr>
          <w:rFonts w:ascii="Verdana" w:hAnsi="Verdana"/>
          <w:sz w:val="20"/>
          <w:szCs w:val="20"/>
        </w:rPr>
        <w:t>hlfahrtsökonomik [s. VL 5 &amp; 6]).</w:t>
      </w:r>
    </w:p>
    <w:p w:rsidR="009C30E1" w:rsidRDefault="009C30E1" w:rsidP="003B3CAE">
      <w:pPr>
        <w:pStyle w:val="KeinLeerraum"/>
        <w:rPr>
          <w:rFonts w:ascii="Verdana" w:hAnsi="Verdana"/>
          <w:sz w:val="20"/>
          <w:szCs w:val="20"/>
        </w:rPr>
      </w:pP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 w:rsidRPr="009C30E1">
        <w:rPr>
          <w:rFonts w:ascii="Verdana" w:hAnsi="Verdana"/>
          <w:b/>
          <w:sz w:val="20"/>
          <w:szCs w:val="20"/>
        </w:rPr>
        <w:t>Kenneth Arrow</w:t>
      </w:r>
      <w:r w:rsidRPr="009C30E1">
        <w:rPr>
          <w:rFonts w:ascii="Verdana" w:hAnsi="Verdana"/>
          <w:sz w:val="20"/>
          <w:szCs w:val="20"/>
        </w:rPr>
        <w:t xml:space="preserve"> (1921 – 2017)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 w:rsidRPr="009C30E1">
        <w:rPr>
          <w:rFonts w:ascii="Verdana" w:hAnsi="Verdana"/>
          <w:b/>
          <w:sz w:val="20"/>
          <w:szCs w:val="20"/>
        </w:rPr>
        <w:t>Sozialwahltheorie und Arrows Unmöglichkeitstheorem</w:t>
      </w:r>
      <w:r>
        <w:rPr>
          <w:rFonts w:ascii="Verdana" w:hAnsi="Verdana"/>
          <w:sz w:val="20"/>
          <w:szCs w:val="20"/>
        </w:rPr>
        <w:t>: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</w:t>
      </w:r>
      <w:r w:rsidRPr="009C30E1">
        <w:rPr>
          <w:rFonts w:ascii="Verdana" w:hAnsi="Verdana"/>
          <w:sz w:val="20"/>
          <w:szCs w:val="20"/>
        </w:rPr>
        <w:t xml:space="preserve">rinnerung: Trennung von Effizienz- und Verteilungsfrage in der New </w:t>
      </w:r>
      <w:proofErr w:type="spellStart"/>
      <w:r w:rsidRPr="009C30E1">
        <w:rPr>
          <w:rFonts w:ascii="Verdana" w:hAnsi="Verdana"/>
          <w:sz w:val="20"/>
          <w:szCs w:val="20"/>
        </w:rPr>
        <w:t>Welfare</w:t>
      </w:r>
      <w:proofErr w:type="spellEnd"/>
      <w:r w:rsidRPr="009C30E1">
        <w:rPr>
          <w:rFonts w:ascii="Verdana" w:hAnsi="Verdana"/>
          <w:sz w:val="20"/>
          <w:szCs w:val="20"/>
        </w:rPr>
        <w:t xml:space="preserve"> Economics ab 1939, führt auf das Problem kollektiver Entscheidungen, also eine Sozialwahltheorie (</w:t>
      </w:r>
      <w:proofErr w:type="spellStart"/>
      <w:r w:rsidRPr="009C30E1">
        <w:rPr>
          <w:rFonts w:ascii="Verdana" w:hAnsi="Verdana"/>
          <w:i/>
          <w:iCs/>
          <w:sz w:val="20"/>
          <w:szCs w:val="20"/>
        </w:rPr>
        <w:t>Social</w:t>
      </w:r>
      <w:proofErr w:type="spellEnd"/>
      <w:r w:rsidRPr="009C30E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9C30E1">
        <w:rPr>
          <w:rFonts w:ascii="Verdana" w:hAnsi="Verdana"/>
          <w:i/>
          <w:iCs/>
          <w:sz w:val="20"/>
          <w:szCs w:val="20"/>
        </w:rPr>
        <w:t>choice</w:t>
      </w:r>
      <w:proofErr w:type="spellEnd"/>
      <w:r w:rsidRPr="009C30E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9C30E1">
        <w:rPr>
          <w:rFonts w:ascii="Verdana" w:hAnsi="Verdana"/>
          <w:i/>
          <w:iCs/>
          <w:sz w:val="20"/>
          <w:szCs w:val="20"/>
        </w:rPr>
        <w:t>theory</w:t>
      </w:r>
      <w:proofErr w:type="spellEnd"/>
      <w:r w:rsidRPr="009C30E1">
        <w:rPr>
          <w:rFonts w:ascii="Verdana" w:hAnsi="Verdana"/>
          <w:sz w:val="20"/>
          <w:szCs w:val="20"/>
        </w:rPr>
        <w:t xml:space="preserve">): 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C30E1">
        <w:rPr>
          <w:rFonts w:ascii="Verdana" w:hAnsi="Verdana"/>
          <w:sz w:val="20"/>
          <w:szCs w:val="20"/>
        </w:rPr>
        <w:t xml:space="preserve">Es </w:t>
      </w:r>
      <w:proofErr w:type="gramStart"/>
      <w:r w:rsidRPr="009C30E1">
        <w:rPr>
          <w:rFonts w:ascii="Verdana" w:hAnsi="Verdana"/>
          <w:sz w:val="20"/>
          <w:szCs w:val="20"/>
        </w:rPr>
        <w:t>stehen</w:t>
      </w:r>
      <w:proofErr w:type="gramEnd"/>
      <w:r w:rsidRPr="009C30E1">
        <w:rPr>
          <w:rFonts w:ascii="Verdana" w:hAnsi="Verdana"/>
          <w:sz w:val="20"/>
          <w:szCs w:val="20"/>
        </w:rPr>
        <w:t xml:space="preserve"> eine Reihe von Alternativen (z.B. x, y, z) zur Wahl. 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C30E1">
        <w:rPr>
          <w:rFonts w:ascii="Verdana" w:hAnsi="Verdana"/>
          <w:sz w:val="20"/>
          <w:szCs w:val="20"/>
        </w:rPr>
        <w:t xml:space="preserve">Jedes Individuum hat individuelle Präferenzen, also eine individuelle Rangordnung der Alternativen (x &gt; y &gt; z, oder z &gt; x &gt; y, oder y &gt; x &gt; z etc.) 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C30E1">
        <w:rPr>
          <w:rFonts w:ascii="Verdana" w:hAnsi="Verdana"/>
          <w:sz w:val="20"/>
          <w:szCs w:val="20"/>
        </w:rPr>
        <w:t xml:space="preserve">Suche nun nach einer Funktion (Sozialwahlfunktion, SWF), diese individuellen Rangordnungen in eine kollektive Rangordnung zu überführen (z.B. Mehrheitsentscheid, Losen o.ä.), also eine gemeinschaftliche Entscheidung zugunsten einer der Alternativen zu finden 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C30E1">
        <w:rPr>
          <w:rFonts w:ascii="Verdana" w:hAnsi="Verdana"/>
          <w:sz w:val="20"/>
          <w:szCs w:val="20"/>
        </w:rPr>
        <w:t xml:space="preserve">Wohlfahrtökonomisch interessant: beste SWF für ‚optimale‘ Lösung 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C30E1">
        <w:rPr>
          <w:rFonts w:ascii="Verdana" w:hAnsi="Verdana"/>
          <w:sz w:val="20"/>
          <w:szCs w:val="20"/>
        </w:rPr>
        <w:t>Arrow führt aus, dass ‚vernünftige‘ Sozialwahlfunktionen einige Bedingungen erfüllen sollten (</w:t>
      </w:r>
      <w:r w:rsidRPr="009C30E1">
        <w:rPr>
          <w:rFonts w:ascii="Verdana" w:hAnsi="Verdana"/>
          <w:i/>
          <w:iCs/>
          <w:sz w:val="20"/>
          <w:szCs w:val="20"/>
        </w:rPr>
        <w:t xml:space="preserve">hier in der Standardformulierung nach </w:t>
      </w:r>
      <w:proofErr w:type="spellStart"/>
      <w:r w:rsidRPr="009C30E1">
        <w:rPr>
          <w:rFonts w:ascii="Verdana" w:hAnsi="Verdana"/>
          <w:i/>
          <w:iCs/>
          <w:sz w:val="20"/>
          <w:szCs w:val="20"/>
        </w:rPr>
        <w:t>Amartya</w:t>
      </w:r>
      <w:proofErr w:type="spellEnd"/>
      <w:r w:rsidRPr="009C30E1">
        <w:rPr>
          <w:rFonts w:ascii="Verdana" w:hAnsi="Verdana"/>
          <w:i/>
          <w:iCs/>
          <w:sz w:val="20"/>
          <w:szCs w:val="20"/>
        </w:rPr>
        <w:t xml:space="preserve"> Sen</w:t>
      </w:r>
      <w:r>
        <w:rPr>
          <w:rFonts w:ascii="Verdana" w:hAnsi="Verdana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br/>
      </w:r>
      <w:r w:rsidRPr="009C30E1">
        <w:rPr>
          <w:rFonts w:ascii="Verdana" w:hAnsi="Verdana"/>
          <w:b/>
          <w:sz w:val="20"/>
          <w:szCs w:val="20"/>
        </w:rPr>
        <w:t>U</w:t>
      </w:r>
      <w:r w:rsidRPr="009C30E1">
        <w:rPr>
          <w:rFonts w:ascii="Verdana" w:hAnsi="Verdana"/>
          <w:sz w:val="20"/>
          <w:szCs w:val="20"/>
        </w:rPr>
        <w:t xml:space="preserve">: Unbeschränkter Definitionsbereich, d.h. alle denkbaren Präferenzordnungen sind zugelassen 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 w:rsidRPr="009C30E1">
        <w:rPr>
          <w:rFonts w:ascii="Verdana" w:hAnsi="Verdana"/>
          <w:b/>
          <w:sz w:val="20"/>
          <w:szCs w:val="20"/>
        </w:rPr>
        <w:t>P</w:t>
      </w:r>
      <w:r w:rsidRPr="009C30E1">
        <w:rPr>
          <w:rFonts w:ascii="Verdana" w:hAnsi="Verdana"/>
          <w:sz w:val="20"/>
          <w:szCs w:val="20"/>
        </w:rPr>
        <w:t xml:space="preserve">: schwaches </w:t>
      </w:r>
      <w:proofErr w:type="spellStart"/>
      <w:r w:rsidRPr="009C30E1">
        <w:rPr>
          <w:rFonts w:ascii="Verdana" w:hAnsi="Verdana"/>
          <w:sz w:val="20"/>
          <w:szCs w:val="20"/>
        </w:rPr>
        <w:t>Paretoprinzip</w:t>
      </w:r>
      <w:proofErr w:type="spellEnd"/>
      <w:r w:rsidRPr="009C30E1">
        <w:rPr>
          <w:rFonts w:ascii="Verdana" w:hAnsi="Verdana"/>
          <w:sz w:val="20"/>
          <w:szCs w:val="20"/>
        </w:rPr>
        <w:t xml:space="preserve">, d.h. wenn alle Individuen x besser finden als y, sollte natürlich auch in der kollektiven Präferenzordnung x &gt; y sein 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 w:rsidRPr="009C30E1">
        <w:rPr>
          <w:rFonts w:ascii="Verdana" w:hAnsi="Verdana"/>
          <w:b/>
          <w:sz w:val="20"/>
          <w:szCs w:val="20"/>
        </w:rPr>
        <w:t>I</w:t>
      </w:r>
      <w:r w:rsidRPr="009C30E1">
        <w:rPr>
          <w:rFonts w:ascii="Verdana" w:hAnsi="Verdana"/>
          <w:sz w:val="20"/>
          <w:szCs w:val="20"/>
        </w:rPr>
        <w:t xml:space="preserve">: Independenz, d.h. ob für mich x &gt; y oder x &lt; y ist, werde ich stets unabhängig von eventuellen Alternativen zu x und y beantworten </w:t>
      </w: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 w:rsidRPr="009C30E1">
        <w:rPr>
          <w:rFonts w:ascii="Verdana" w:hAnsi="Verdana"/>
          <w:b/>
          <w:sz w:val="20"/>
          <w:szCs w:val="20"/>
        </w:rPr>
        <w:t>D</w:t>
      </w:r>
      <w:r w:rsidRPr="009C30E1">
        <w:rPr>
          <w:rFonts w:ascii="Verdana" w:hAnsi="Verdana"/>
          <w:sz w:val="20"/>
          <w:szCs w:val="20"/>
        </w:rPr>
        <w:t xml:space="preserve">: es gibt keinen ‚Diktator‘, d.h. kein Individuum, dessen individuelle Präferenzordnung stets zur kollektiven Präferenzordnung wird </w:t>
      </w:r>
    </w:p>
    <w:p w:rsid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  <w:r w:rsidRPr="009C30E1">
        <w:rPr>
          <w:rFonts w:ascii="Verdana" w:hAnsi="Verdana"/>
          <w:sz w:val="20"/>
          <w:szCs w:val="20"/>
        </w:rPr>
        <w:sym w:font="Wingdings" w:char="F0E0"/>
      </w:r>
      <w:r w:rsidRPr="009C30E1">
        <w:rPr>
          <w:rFonts w:ascii="Verdana" w:hAnsi="Verdana"/>
          <w:sz w:val="20"/>
          <w:szCs w:val="20"/>
        </w:rPr>
        <w:t xml:space="preserve">Arrow beweist: Es existiert </w:t>
      </w:r>
      <w:r w:rsidRPr="009C30E1">
        <w:rPr>
          <w:rFonts w:ascii="Verdana" w:hAnsi="Verdana"/>
          <w:i/>
          <w:iCs/>
          <w:sz w:val="20"/>
          <w:szCs w:val="20"/>
        </w:rPr>
        <w:t xml:space="preserve">keine einzige </w:t>
      </w:r>
      <w:r w:rsidRPr="009C30E1">
        <w:rPr>
          <w:rFonts w:ascii="Verdana" w:hAnsi="Verdana"/>
          <w:sz w:val="20"/>
          <w:szCs w:val="20"/>
        </w:rPr>
        <w:t>SWF (geschweige denn eine ‚beste‘), für die alle vier Bedingungen erfüllt sind! –</w:t>
      </w:r>
      <w:r>
        <w:rPr>
          <w:rFonts w:ascii="Verdana" w:hAnsi="Verdana"/>
          <w:sz w:val="20"/>
          <w:szCs w:val="20"/>
        </w:rPr>
        <w:t xml:space="preserve">&gt; entmutigend für </w:t>
      </w:r>
      <w:proofErr w:type="spellStart"/>
      <w:r>
        <w:rPr>
          <w:rFonts w:ascii="Verdana" w:hAnsi="Verdana"/>
          <w:sz w:val="20"/>
          <w:szCs w:val="20"/>
        </w:rPr>
        <w:t>Wohlfahrtsök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</w:p>
    <w:p w:rsidR="00E37C3B" w:rsidRDefault="00E37C3B" w:rsidP="009C30E1">
      <w:pPr>
        <w:pStyle w:val="KeinLeerraum"/>
        <w:rPr>
          <w:rFonts w:ascii="Verdana" w:hAnsi="Verdana"/>
          <w:sz w:val="20"/>
          <w:szCs w:val="20"/>
        </w:rPr>
      </w:pPr>
    </w:p>
    <w:p w:rsidR="00E37C3B" w:rsidRDefault="00E37C3B" w:rsidP="009C30E1">
      <w:pPr>
        <w:pStyle w:val="KeinLeerraum"/>
        <w:rPr>
          <w:rFonts w:ascii="Verdana" w:hAnsi="Verdana"/>
          <w:sz w:val="20"/>
          <w:szCs w:val="20"/>
        </w:rPr>
      </w:pPr>
    </w:p>
    <w:p w:rsidR="00E37C3B" w:rsidRDefault="00E37C3B" w:rsidP="009C30E1">
      <w:pPr>
        <w:pStyle w:val="KeinLeerraum"/>
        <w:rPr>
          <w:rFonts w:ascii="Verdana" w:hAnsi="Verdana"/>
          <w:sz w:val="20"/>
          <w:szCs w:val="20"/>
        </w:rPr>
      </w:pPr>
    </w:p>
    <w:p w:rsidR="00E37C3B" w:rsidRDefault="00E37C3B" w:rsidP="009C30E1">
      <w:pPr>
        <w:pStyle w:val="KeinLeerraum"/>
        <w:rPr>
          <w:rFonts w:ascii="Verdana" w:hAnsi="Verdana"/>
          <w:sz w:val="20"/>
          <w:szCs w:val="20"/>
        </w:rPr>
      </w:pPr>
    </w:p>
    <w:p w:rsidR="00E37C3B" w:rsidRDefault="00E37C3B" w:rsidP="009C30E1">
      <w:pPr>
        <w:pStyle w:val="KeinLeerraum"/>
        <w:rPr>
          <w:rFonts w:ascii="Verdana" w:hAnsi="Verdana"/>
          <w:sz w:val="20"/>
          <w:szCs w:val="20"/>
        </w:rPr>
      </w:pPr>
    </w:p>
    <w:p w:rsidR="009C30E1" w:rsidRPr="00E37C3B" w:rsidRDefault="009C30E1" w:rsidP="009C30E1">
      <w:pPr>
        <w:pStyle w:val="KeinLeerraum"/>
        <w:rPr>
          <w:rFonts w:ascii="Verdana" w:hAnsi="Verdana"/>
          <w:b/>
          <w:sz w:val="20"/>
          <w:szCs w:val="20"/>
        </w:rPr>
      </w:pPr>
      <w:proofErr w:type="spellStart"/>
      <w:r w:rsidRPr="00E37C3B">
        <w:rPr>
          <w:rFonts w:ascii="Verdana" w:hAnsi="Verdana"/>
          <w:b/>
          <w:sz w:val="20"/>
          <w:szCs w:val="20"/>
        </w:rPr>
        <w:lastRenderedPageBreak/>
        <w:t>Amartyia</w:t>
      </w:r>
      <w:proofErr w:type="spellEnd"/>
      <w:r w:rsidRPr="00E37C3B">
        <w:rPr>
          <w:rFonts w:ascii="Verdana" w:hAnsi="Verdana"/>
          <w:b/>
          <w:sz w:val="20"/>
          <w:szCs w:val="20"/>
        </w:rPr>
        <w:t xml:space="preserve"> Sen (geb. 1933)</w:t>
      </w:r>
    </w:p>
    <w:p w:rsidR="009C30E1" w:rsidRPr="009C30E1" w:rsidRDefault="009C30E1" w:rsidP="009C30E1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9C30E1">
        <w:rPr>
          <w:rFonts w:ascii="Verdana" w:hAnsi="Verdana" w:cs="Calibri"/>
          <w:b/>
          <w:bCs/>
          <w:color w:val="000000"/>
          <w:sz w:val="20"/>
          <w:szCs w:val="20"/>
        </w:rPr>
        <w:t>Wohlfahrtsökonomik jenseits</w:t>
      </w:r>
      <w:r w:rsidR="00E37C3B">
        <w:rPr>
          <w:rFonts w:ascii="Verdana" w:hAnsi="Verdana" w:cs="Calibri"/>
          <w:b/>
          <w:bCs/>
          <w:color w:val="000000"/>
          <w:sz w:val="20"/>
          <w:szCs w:val="20"/>
        </w:rPr>
        <w:t xml:space="preserve"> des Unmöglichkeitstheorems</w:t>
      </w:r>
    </w:p>
    <w:p w:rsidR="009C30E1" w:rsidRPr="009C30E1" w:rsidRDefault="009C30E1" w:rsidP="009C30E1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 P</w:t>
      </w:r>
      <w:r w:rsidRPr="009C30E1">
        <w:rPr>
          <w:rFonts w:ascii="Verdana" w:hAnsi="Verdana" w:cs="Calibri"/>
          <w:color w:val="000000"/>
          <w:sz w:val="20"/>
          <w:szCs w:val="20"/>
        </w:rPr>
        <w:t>roblem liegt im ‚</w:t>
      </w:r>
      <w:proofErr w:type="spellStart"/>
      <w:r w:rsidRPr="009C30E1">
        <w:rPr>
          <w:rFonts w:ascii="Verdana" w:hAnsi="Verdana" w:cs="Calibri"/>
          <w:b/>
          <w:color w:val="000000"/>
          <w:sz w:val="20"/>
          <w:szCs w:val="20"/>
        </w:rPr>
        <w:t>Welfarismus</w:t>
      </w:r>
      <w:proofErr w:type="spellEnd"/>
      <w:r w:rsidRPr="009C30E1">
        <w:rPr>
          <w:rFonts w:ascii="Verdana" w:hAnsi="Verdana" w:cs="Calibri"/>
          <w:color w:val="000000"/>
          <w:sz w:val="20"/>
          <w:szCs w:val="20"/>
        </w:rPr>
        <w:t xml:space="preserve">‘, also der ausschließlichen Orientierung an individuellen Nutzenvorstellungen </w:t>
      </w:r>
    </w:p>
    <w:p w:rsidR="009C30E1" w:rsidRPr="009C30E1" w:rsidRDefault="009C30E1" w:rsidP="009C30E1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9C30E1">
        <w:rPr>
          <w:rFonts w:ascii="Verdana" w:hAnsi="Verdana" w:cs="Calibri"/>
          <w:color w:val="000000"/>
          <w:sz w:val="20"/>
          <w:szCs w:val="20"/>
        </w:rPr>
        <w:t xml:space="preserve">Muss zumindest um weitere Dimensionen wie Freiheit und Recht erweitert werden – aber das geht nicht widerspruchsfrei: </w:t>
      </w:r>
    </w:p>
    <w:p w:rsidR="009C30E1" w:rsidRPr="009C30E1" w:rsidRDefault="009C30E1" w:rsidP="009C30E1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9C30E1">
        <w:rPr>
          <w:rFonts w:ascii="Verdana" w:hAnsi="Verdana" w:cs="Calibri"/>
          <w:color w:val="000000"/>
          <w:sz w:val="20"/>
          <w:szCs w:val="20"/>
        </w:rPr>
        <w:t>„</w:t>
      </w:r>
      <w:r w:rsidRPr="009C30E1">
        <w:rPr>
          <w:rFonts w:ascii="Verdana" w:hAnsi="Verdana" w:cs="Calibri"/>
          <w:b/>
          <w:color w:val="000000"/>
          <w:sz w:val="20"/>
          <w:szCs w:val="20"/>
        </w:rPr>
        <w:t>Paradox des Liberalismus</w:t>
      </w:r>
      <w:r w:rsidRPr="009C30E1">
        <w:rPr>
          <w:rFonts w:ascii="Verdana" w:hAnsi="Verdana" w:cs="Calibri"/>
          <w:color w:val="000000"/>
          <w:sz w:val="20"/>
          <w:szCs w:val="20"/>
        </w:rPr>
        <w:t>“ („</w:t>
      </w:r>
      <w:proofErr w:type="spellStart"/>
      <w:r w:rsidRPr="009C30E1">
        <w:rPr>
          <w:rFonts w:ascii="Verdana" w:hAnsi="Verdana" w:cs="Calibri"/>
          <w:i/>
          <w:iCs/>
          <w:color w:val="000000"/>
          <w:sz w:val="20"/>
          <w:szCs w:val="20"/>
        </w:rPr>
        <w:t>Impossibility</w:t>
      </w:r>
      <w:proofErr w:type="spellEnd"/>
      <w:r w:rsidRPr="009C30E1">
        <w:rPr>
          <w:rFonts w:ascii="Verdana" w:hAnsi="Verdana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9C30E1">
        <w:rPr>
          <w:rFonts w:ascii="Verdana" w:hAnsi="Verdana" w:cs="Calibri"/>
          <w:i/>
          <w:iCs/>
          <w:color w:val="000000"/>
          <w:sz w:val="20"/>
          <w:szCs w:val="20"/>
        </w:rPr>
        <w:t>of</w:t>
      </w:r>
      <w:proofErr w:type="spellEnd"/>
      <w:r w:rsidRPr="009C30E1">
        <w:rPr>
          <w:rFonts w:ascii="Verdana" w:hAnsi="Verdana" w:cs="Calibri"/>
          <w:i/>
          <w:iCs/>
          <w:color w:val="000000"/>
          <w:sz w:val="20"/>
          <w:szCs w:val="20"/>
        </w:rPr>
        <w:t xml:space="preserve"> a </w:t>
      </w:r>
      <w:proofErr w:type="spellStart"/>
      <w:r w:rsidRPr="009C30E1">
        <w:rPr>
          <w:rFonts w:ascii="Verdana" w:hAnsi="Verdana" w:cs="Calibri"/>
          <w:i/>
          <w:iCs/>
          <w:color w:val="000000"/>
          <w:sz w:val="20"/>
          <w:szCs w:val="20"/>
        </w:rPr>
        <w:t>Paretian</w:t>
      </w:r>
      <w:proofErr w:type="spellEnd"/>
      <w:r w:rsidRPr="009C30E1">
        <w:rPr>
          <w:rFonts w:ascii="Verdana" w:hAnsi="Verdana" w:cs="Calibri"/>
          <w:i/>
          <w:iCs/>
          <w:color w:val="000000"/>
          <w:sz w:val="20"/>
          <w:szCs w:val="20"/>
        </w:rPr>
        <w:t xml:space="preserve"> Liberal</w:t>
      </w:r>
      <w:r>
        <w:rPr>
          <w:rFonts w:ascii="Verdana" w:hAnsi="Verdana" w:cs="Calibri"/>
          <w:color w:val="000000"/>
          <w:sz w:val="20"/>
          <w:szCs w:val="20"/>
        </w:rPr>
        <w:t>“):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9C30E1">
        <w:rPr>
          <w:rFonts w:ascii="Verdana" w:hAnsi="Verdana" w:cs="Calibri"/>
          <w:color w:val="000000"/>
          <w:sz w:val="20"/>
          <w:szCs w:val="20"/>
        </w:rPr>
        <w:sym w:font="Wingdings" w:char="F0E0"/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C30E1">
        <w:rPr>
          <w:rFonts w:ascii="Verdana" w:hAnsi="Verdana" w:cs="Calibri"/>
          <w:color w:val="000000"/>
          <w:sz w:val="20"/>
          <w:szCs w:val="20"/>
        </w:rPr>
        <w:t xml:space="preserve">Suche SWF, habe nur drei Bedingungen: </w:t>
      </w:r>
      <w:r w:rsidRPr="009C30E1">
        <w:rPr>
          <w:rFonts w:ascii="Verdana" w:hAnsi="Verdana" w:cs="Calibri"/>
          <w:b/>
          <w:bCs/>
          <w:color w:val="000000"/>
          <w:sz w:val="20"/>
          <w:szCs w:val="20"/>
        </w:rPr>
        <w:t xml:space="preserve">U </w:t>
      </w:r>
      <w:r w:rsidRPr="009C30E1">
        <w:rPr>
          <w:rFonts w:ascii="Verdana" w:hAnsi="Verdana" w:cs="Calibri"/>
          <w:color w:val="000000"/>
          <w:sz w:val="20"/>
          <w:szCs w:val="20"/>
        </w:rPr>
        <w:t xml:space="preserve">(unbeschränkt), </w:t>
      </w:r>
      <w:r w:rsidRPr="009C30E1">
        <w:rPr>
          <w:rFonts w:ascii="Verdana" w:hAnsi="Verdana" w:cs="Calibri"/>
          <w:b/>
          <w:bCs/>
          <w:color w:val="000000"/>
          <w:sz w:val="20"/>
          <w:szCs w:val="20"/>
        </w:rPr>
        <w:t xml:space="preserve">P </w:t>
      </w:r>
      <w:r w:rsidRPr="009C30E1">
        <w:rPr>
          <w:rFonts w:ascii="Verdana" w:hAnsi="Verdana" w:cs="Calibri"/>
          <w:color w:val="000000"/>
          <w:sz w:val="20"/>
          <w:szCs w:val="20"/>
        </w:rPr>
        <w:t xml:space="preserve">(Pareto) und neu </w:t>
      </w:r>
      <w:r w:rsidRPr="009C30E1">
        <w:rPr>
          <w:rFonts w:ascii="Verdana" w:hAnsi="Verdana" w:cs="Calibri"/>
          <w:b/>
          <w:bCs/>
          <w:color w:val="000000"/>
          <w:sz w:val="20"/>
          <w:szCs w:val="20"/>
        </w:rPr>
        <w:t xml:space="preserve">L </w:t>
      </w:r>
      <w:r w:rsidRPr="009C30E1">
        <w:rPr>
          <w:rFonts w:ascii="Verdana" w:hAnsi="Verdana" w:cs="Calibri"/>
          <w:color w:val="000000"/>
          <w:sz w:val="20"/>
          <w:szCs w:val="20"/>
        </w:rPr>
        <w:t xml:space="preserve">(minimaler Liberalismus: es gibt eine Privatsphäre, d.h. bei Entscheidungen, die allein Individuum A betreffen, entscheidet allein A) </w:t>
      </w:r>
    </w:p>
    <w:p w:rsidR="00E37C3B" w:rsidRDefault="009C30E1" w:rsidP="009C30E1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9C30E1">
        <w:rPr>
          <w:rFonts w:ascii="Verdana" w:hAnsi="Verdana" w:cs="Calibri"/>
          <w:color w:val="000000"/>
          <w:sz w:val="20"/>
          <w:szCs w:val="20"/>
        </w:rPr>
        <w:sym w:font="Wingdings" w:char="F0E0"/>
      </w:r>
      <w:r>
        <w:rPr>
          <w:rFonts w:ascii="Verdana" w:hAnsi="Verdana" w:cs="Calibri"/>
          <w:color w:val="000000"/>
          <w:sz w:val="20"/>
          <w:szCs w:val="20"/>
        </w:rPr>
        <w:t xml:space="preserve"> Auch hier 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keine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SWF möglich!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9C30E1">
        <w:rPr>
          <w:rFonts w:ascii="Verdana" w:hAnsi="Verdana" w:cs="Calibri"/>
          <w:color w:val="000000"/>
          <w:sz w:val="20"/>
          <w:szCs w:val="20"/>
        </w:rPr>
        <w:sym w:font="Wingdings" w:char="F0E0"/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C30E1">
        <w:rPr>
          <w:rFonts w:ascii="Verdana" w:hAnsi="Verdana" w:cs="Calibri"/>
          <w:color w:val="000000"/>
          <w:sz w:val="20"/>
          <w:szCs w:val="20"/>
        </w:rPr>
        <w:t xml:space="preserve">Gegenbeispiel von Sen: Ein prüdes und ein frivoles Individuum sollen entscheiden, wer von beiden „Lady </w:t>
      </w:r>
      <w:proofErr w:type="spellStart"/>
      <w:r w:rsidRPr="009C30E1">
        <w:rPr>
          <w:rFonts w:ascii="Verdana" w:hAnsi="Verdana" w:cs="Calibri"/>
          <w:color w:val="000000"/>
          <w:sz w:val="20"/>
          <w:szCs w:val="20"/>
        </w:rPr>
        <w:t>Chatterley‘s</w:t>
      </w:r>
      <w:proofErr w:type="spellEnd"/>
      <w:r w:rsidRPr="009C30E1">
        <w:rPr>
          <w:rFonts w:ascii="Verdana" w:hAnsi="Verdana" w:cs="Calibri"/>
          <w:color w:val="000000"/>
          <w:sz w:val="20"/>
          <w:szCs w:val="20"/>
        </w:rPr>
        <w:t xml:space="preserve"> Lover“ liest… </w:t>
      </w:r>
    </w:p>
    <w:p w:rsidR="00E37C3B" w:rsidRP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E37C3B">
        <w:rPr>
          <w:rFonts w:ascii="Verdana" w:hAnsi="Verdana"/>
          <w:b/>
          <w:sz w:val="20"/>
          <w:szCs w:val="20"/>
        </w:rPr>
        <w:t>Sen</w:t>
      </w:r>
      <w:r w:rsidRPr="00E37C3B">
        <w:rPr>
          <w:rFonts w:ascii="Verdana" w:hAnsi="Verdana"/>
          <w:sz w:val="20"/>
          <w:szCs w:val="20"/>
        </w:rPr>
        <w:t xml:space="preserve">: Wenn individuelle Freiheitsrechte und </w:t>
      </w:r>
      <w:proofErr w:type="spellStart"/>
      <w:r w:rsidRPr="00E37C3B">
        <w:rPr>
          <w:rFonts w:ascii="Verdana" w:hAnsi="Verdana"/>
          <w:sz w:val="20"/>
          <w:szCs w:val="20"/>
        </w:rPr>
        <w:t>Paretoeffizienz</w:t>
      </w:r>
      <w:proofErr w:type="spellEnd"/>
      <w:r w:rsidRPr="00E37C3B">
        <w:rPr>
          <w:rFonts w:ascii="Verdana" w:hAnsi="Verdana"/>
          <w:sz w:val="20"/>
          <w:szCs w:val="20"/>
        </w:rPr>
        <w:t xml:space="preserve"> unvereinbar sind, liegt das Problem bei der nutzenorientierten </w:t>
      </w:r>
      <w:proofErr w:type="spellStart"/>
      <w:r w:rsidRPr="00E37C3B">
        <w:rPr>
          <w:rFonts w:ascii="Verdana" w:hAnsi="Verdana"/>
          <w:sz w:val="20"/>
          <w:szCs w:val="20"/>
        </w:rPr>
        <w:t>Paretoeffizienz</w:t>
      </w:r>
      <w:proofErr w:type="spellEnd"/>
      <w:r w:rsidRPr="00E37C3B">
        <w:rPr>
          <w:rFonts w:ascii="Verdana" w:hAnsi="Verdana"/>
          <w:sz w:val="20"/>
          <w:szCs w:val="20"/>
        </w:rPr>
        <w:t xml:space="preserve"> als Kriterium </w:t>
      </w:r>
    </w:p>
    <w:p w:rsidR="00E37C3B" w:rsidRP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37C3B">
        <w:rPr>
          <w:rFonts w:ascii="Verdana" w:hAnsi="Verdana"/>
          <w:sz w:val="20"/>
          <w:szCs w:val="20"/>
        </w:rPr>
        <w:t xml:space="preserve">Problem des </w:t>
      </w:r>
      <w:proofErr w:type="spellStart"/>
      <w:r w:rsidRPr="00E37C3B">
        <w:rPr>
          <w:rFonts w:ascii="Verdana" w:hAnsi="Verdana"/>
          <w:sz w:val="20"/>
          <w:szCs w:val="20"/>
        </w:rPr>
        <w:t>Welfarismus</w:t>
      </w:r>
      <w:proofErr w:type="spellEnd"/>
      <w:r w:rsidRPr="00E37C3B">
        <w:rPr>
          <w:rFonts w:ascii="Verdana" w:hAnsi="Verdana"/>
          <w:sz w:val="20"/>
          <w:szCs w:val="20"/>
        </w:rPr>
        <w:t xml:space="preserve"> ist nicht nur, dass nicht alle moralisch relevanten Informationen (Rechte, Freiheiten etc.) einbezogen werden – sondern dafür z.T. auch moralisch irrelevante (Missgunst, Schadenfreude, etc.) </w:t>
      </w:r>
    </w:p>
    <w:p w:rsidR="00E37C3B" w:rsidRP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37C3B">
        <w:rPr>
          <w:rFonts w:ascii="Verdana" w:hAnsi="Verdana"/>
          <w:b/>
          <w:sz w:val="20"/>
          <w:szCs w:val="20"/>
        </w:rPr>
        <w:t>Gegenvorschlag von Sen</w:t>
      </w:r>
      <w:r w:rsidRPr="00E37C3B">
        <w:rPr>
          <w:rFonts w:ascii="Verdana" w:hAnsi="Verdana"/>
          <w:sz w:val="20"/>
          <w:szCs w:val="20"/>
        </w:rPr>
        <w:t xml:space="preserve">: Wirtschaft nicht an der Optimierung von Nutzen, sondern Maximierung von </w:t>
      </w:r>
      <w:r w:rsidRPr="00E37C3B">
        <w:rPr>
          <w:rFonts w:ascii="Verdana" w:hAnsi="Verdana"/>
          <w:sz w:val="20"/>
          <w:szCs w:val="20"/>
          <w:u w:val="single"/>
        </w:rPr>
        <w:t>Handlungsbefähigungen (</w:t>
      </w:r>
      <w:proofErr w:type="spellStart"/>
      <w:r w:rsidRPr="00E37C3B">
        <w:rPr>
          <w:rFonts w:ascii="Verdana" w:hAnsi="Verdana"/>
          <w:i/>
          <w:iCs/>
          <w:sz w:val="20"/>
          <w:szCs w:val="20"/>
          <w:u w:val="single"/>
        </w:rPr>
        <w:t>Capabilities</w:t>
      </w:r>
      <w:proofErr w:type="spellEnd"/>
      <w:r w:rsidRPr="00E37C3B">
        <w:rPr>
          <w:rFonts w:ascii="Verdana" w:hAnsi="Verdana"/>
          <w:sz w:val="20"/>
          <w:szCs w:val="20"/>
          <w:u w:val="single"/>
        </w:rPr>
        <w:t>)</w:t>
      </w:r>
      <w:r w:rsidRPr="00E37C3B">
        <w:rPr>
          <w:rFonts w:ascii="Verdana" w:hAnsi="Verdana"/>
          <w:sz w:val="20"/>
          <w:szCs w:val="20"/>
        </w:rPr>
        <w:t xml:space="preserve"> orientieren </w:t>
      </w:r>
    </w:p>
    <w:p w:rsidR="00E37C3B" w:rsidRP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37C3B">
        <w:rPr>
          <w:rFonts w:ascii="Verdana" w:hAnsi="Verdana"/>
          <w:sz w:val="20"/>
          <w:szCs w:val="20"/>
        </w:rPr>
        <w:t xml:space="preserve">Wer Befähigungen hat (z.B. lesen kann, gesund ist), dem eröffnen sich Wahlmöglichkeiten („Freiheit zu“, im Unterschied zu Hayeks „Freiheit von“); Wahlfreiheit zieht letztlich auch materiellen Wohlstand nach sich </w:t>
      </w:r>
    </w:p>
    <w:p w:rsidR="009C30E1" w:rsidRDefault="00E37C3B" w:rsidP="00E37C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37C3B">
        <w:rPr>
          <w:rFonts w:ascii="Verdana" w:hAnsi="Verdana"/>
          <w:sz w:val="20"/>
          <w:szCs w:val="20"/>
        </w:rPr>
        <w:t>HDI misst neben BIP auch Bildung und Gesundheit, inwieweit also Menschen in grundsätzlichen Aspekten ‚befähigt‘ we</w:t>
      </w:r>
      <w:r>
        <w:rPr>
          <w:rFonts w:ascii="Verdana" w:hAnsi="Verdana"/>
          <w:sz w:val="20"/>
          <w:szCs w:val="20"/>
        </w:rPr>
        <w:t>rden und Lebenschancen erhalten.</w:t>
      </w:r>
    </w:p>
    <w:p w:rsid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</w:p>
    <w:p w:rsidR="00E37C3B" w:rsidRPr="00E37C3B" w:rsidRDefault="00E37C3B" w:rsidP="00E37C3B">
      <w:pPr>
        <w:pStyle w:val="KeinLeerraum"/>
        <w:rPr>
          <w:rFonts w:ascii="Verdana" w:hAnsi="Verdana"/>
          <w:b/>
          <w:sz w:val="20"/>
          <w:szCs w:val="20"/>
        </w:rPr>
      </w:pPr>
      <w:proofErr w:type="spellStart"/>
      <w:r w:rsidRPr="00E37C3B">
        <w:rPr>
          <w:rFonts w:ascii="Verdana" w:hAnsi="Verdana"/>
          <w:b/>
          <w:sz w:val="20"/>
          <w:szCs w:val="20"/>
        </w:rPr>
        <w:t>Impossibility</w:t>
      </w:r>
      <w:proofErr w:type="spellEnd"/>
      <w:r w:rsidRPr="00E37C3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37C3B">
        <w:rPr>
          <w:rFonts w:ascii="Verdana" w:hAnsi="Verdana"/>
          <w:b/>
          <w:sz w:val="20"/>
          <w:szCs w:val="20"/>
        </w:rPr>
        <w:t>of</w:t>
      </w:r>
      <w:proofErr w:type="spellEnd"/>
      <w:r w:rsidRPr="00E37C3B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Pr="00E37C3B">
        <w:rPr>
          <w:rFonts w:ascii="Verdana" w:hAnsi="Verdana"/>
          <w:b/>
          <w:sz w:val="20"/>
          <w:szCs w:val="20"/>
        </w:rPr>
        <w:t>Paretian</w:t>
      </w:r>
      <w:proofErr w:type="spellEnd"/>
      <w:r w:rsidRPr="00E37C3B">
        <w:rPr>
          <w:rFonts w:ascii="Verdana" w:hAnsi="Verdana"/>
          <w:b/>
          <w:sz w:val="20"/>
          <w:szCs w:val="20"/>
        </w:rPr>
        <w:t xml:space="preserve"> Liberal: Wer soll Lady </w:t>
      </w:r>
      <w:proofErr w:type="spellStart"/>
      <w:r w:rsidRPr="00E37C3B">
        <w:rPr>
          <w:rFonts w:ascii="Verdana" w:hAnsi="Verdana"/>
          <w:b/>
          <w:sz w:val="20"/>
          <w:szCs w:val="20"/>
        </w:rPr>
        <w:t>Chatterley‘s</w:t>
      </w:r>
      <w:proofErr w:type="spellEnd"/>
      <w:r w:rsidRPr="00E37C3B">
        <w:rPr>
          <w:rFonts w:ascii="Verdana" w:hAnsi="Verdana"/>
          <w:b/>
          <w:sz w:val="20"/>
          <w:szCs w:val="20"/>
        </w:rPr>
        <w:t xml:space="preserve"> Lover lesen? </w:t>
      </w:r>
    </w:p>
    <w:p w:rsidR="00E37C3B" w:rsidRP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Verdana" w:hAnsi="Verdana"/>
          <w:sz w:val="20"/>
          <w:szCs w:val="20"/>
        </w:rPr>
        <w:t xml:space="preserve"> N</w:t>
      </w:r>
      <w:r w:rsidRPr="00E37C3B">
        <w:rPr>
          <w:rFonts w:ascii="Verdana" w:hAnsi="Verdana"/>
          <w:sz w:val="20"/>
          <w:szCs w:val="20"/>
        </w:rPr>
        <w:t xml:space="preserve">ur einer bekommt ein Exemplar; über die Schulter gucken gilt nicht… </w:t>
      </w:r>
    </w:p>
    <w:p w:rsidR="00E37C3B" w:rsidRPr="00E37C3B" w:rsidRDefault="00E37C3B" w:rsidP="00E37C3B">
      <w:pPr>
        <w:pStyle w:val="KeinLeerraum"/>
        <w:rPr>
          <w:rFonts w:ascii="Verdana" w:hAnsi="Verdana" w:cs="Cambri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37C3B">
        <w:rPr>
          <w:rFonts w:ascii="Verdana" w:hAnsi="Verdana"/>
          <w:sz w:val="20"/>
          <w:szCs w:val="20"/>
        </w:rPr>
        <w:t xml:space="preserve">Präferenz des Prüden: N &gt; </w:t>
      </w:r>
      <w:r w:rsidRPr="00E37C3B">
        <w:rPr>
          <w:rFonts w:ascii="Verdana" w:hAnsi="Verdana"/>
          <w:b/>
          <w:sz w:val="20"/>
          <w:szCs w:val="20"/>
        </w:rPr>
        <w:t>P &gt; F</w:t>
      </w:r>
      <w:r w:rsidRPr="00E37C3B">
        <w:rPr>
          <w:rFonts w:ascii="Verdana" w:hAnsi="Verdana"/>
          <w:sz w:val="20"/>
          <w:szCs w:val="20"/>
        </w:rPr>
        <w:t xml:space="preserve"> </w:t>
      </w:r>
      <w:r w:rsidRPr="00E37C3B">
        <w:rPr>
          <w:rFonts w:ascii="Verdana" w:hAnsi="Verdana" w:cs="Cambria"/>
          <w:sz w:val="20"/>
          <w:szCs w:val="20"/>
        </w:rPr>
        <w:t xml:space="preserve">„Niemand sollte das Buch lesen, und wenn es jemand lesen muss, lieber ich, da ich moralisch gefestigter bin.“ </w:t>
      </w:r>
    </w:p>
    <w:p w:rsidR="00E37C3B" w:rsidRPr="00E37C3B" w:rsidRDefault="00E37C3B" w:rsidP="00E37C3B">
      <w:pPr>
        <w:pStyle w:val="KeinLeerraum"/>
        <w:rPr>
          <w:rFonts w:ascii="Verdana" w:hAnsi="Verdana" w:cs="Cambri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37C3B">
        <w:rPr>
          <w:rFonts w:ascii="Verdana" w:hAnsi="Verdana"/>
          <w:sz w:val="20"/>
          <w:szCs w:val="20"/>
        </w:rPr>
        <w:t xml:space="preserve">Präferenz des Frivolen: </w:t>
      </w:r>
      <w:r w:rsidRPr="00E37C3B">
        <w:rPr>
          <w:rFonts w:ascii="Verdana" w:hAnsi="Verdana"/>
          <w:b/>
          <w:sz w:val="20"/>
          <w:szCs w:val="20"/>
        </w:rPr>
        <w:t>P &gt; F</w:t>
      </w:r>
      <w:r w:rsidRPr="00E37C3B">
        <w:rPr>
          <w:rFonts w:ascii="Verdana" w:hAnsi="Verdana"/>
          <w:sz w:val="20"/>
          <w:szCs w:val="20"/>
        </w:rPr>
        <w:t xml:space="preserve"> &gt; N </w:t>
      </w:r>
      <w:r w:rsidRPr="00E37C3B">
        <w:rPr>
          <w:rFonts w:ascii="Verdana" w:hAnsi="Verdana" w:cs="Cambria"/>
          <w:sz w:val="20"/>
          <w:szCs w:val="20"/>
        </w:rPr>
        <w:t>„Der Prüde soll sich mal locker machen und es lesen. Wenn er nicht will, les ich es, irgendjemand muss jed</w:t>
      </w:r>
      <w:r>
        <w:rPr>
          <w:rFonts w:ascii="Verdana" w:hAnsi="Verdana" w:cs="Cambria"/>
          <w:sz w:val="20"/>
          <w:szCs w:val="20"/>
        </w:rPr>
        <w:t xml:space="preserve">enfalls in den Genuss kommen…“ </w:t>
      </w:r>
    </w:p>
    <w:p w:rsidR="00E37C3B" w:rsidRP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E</w:t>
      </w:r>
      <w:r w:rsidRPr="00E37C3B">
        <w:rPr>
          <w:rFonts w:ascii="Verdana" w:hAnsi="Verdana"/>
          <w:sz w:val="20"/>
          <w:szCs w:val="20"/>
        </w:rPr>
        <w:t>ntweder zwingt man den Prüden das Buch zu lesen (</w:t>
      </w:r>
      <w:r w:rsidRPr="00E37C3B">
        <w:rPr>
          <w:rFonts w:ascii="Verdana" w:hAnsi="Verdana"/>
          <w:b/>
          <w:sz w:val="20"/>
          <w:szCs w:val="20"/>
        </w:rPr>
        <w:t>verletzt aber L</w:t>
      </w:r>
      <w:r w:rsidRPr="00E37C3B">
        <w:rPr>
          <w:rFonts w:ascii="Verdana" w:hAnsi="Verdana"/>
          <w:sz w:val="20"/>
          <w:szCs w:val="20"/>
        </w:rPr>
        <w:t xml:space="preserve">), oder andernfalls wird F es lesen – obwohl </w:t>
      </w:r>
      <w:r w:rsidRPr="00E37C3B">
        <w:rPr>
          <w:rFonts w:ascii="Verdana" w:hAnsi="Verdana"/>
          <w:i/>
          <w:iCs/>
          <w:sz w:val="20"/>
          <w:szCs w:val="20"/>
        </w:rPr>
        <w:t xml:space="preserve">jedermann </w:t>
      </w:r>
      <w:r w:rsidRPr="00E37C3B">
        <w:rPr>
          <w:rFonts w:ascii="Verdana" w:hAnsi="Verdana"/>
          <w:b/>
          <w:sz w:val="20"/>
          <w:szCs w:val="20"/>
        </w:rPr>
        <w:t>P &gt; F</w:t>
      </w:r>
      <w:r w:rsidRPr="00E37C3B">
        <w:rPr>
          <w:rFonts w:ascii="Verdana" w:hAnsi="Verdana"/>
          <w:sz w:val="20"/>
          <w:szCs w:val="20"/>
        </w:rPr>
        <w:t xml:space="preserve"> präferiert (</w:t>
      </w:r>
      <w:bookmarkStart w:id="0" w:name="_GoBack"/>
      <w:r w:rsidRPr="00E37C3B">
        <w:rPr>
          <w:rFonts w:ascii="Verdana" w:hAnsi="Verdana"/>
          <w:b/>
          <w:sz w:val="20"/>
          <w:szCs w:val="20"/>
        </w:rPr>
        <w:t>verletzt P</w:t>
      </w:r>
      <w:bookmarkEnd w:id="0"/>
      <w:r w:rsidRPr="00E37C3B">
        <w:rPr>
          <w:rFonts w:ascii="Verdana" w:hAnsi="Verdana"/>
          <w:sz w:val="20"/>
          <w:szCs w:val="20"/>
        </w:rPr>
        <w:t xml:space="preserve">) </w:t>
      </w:r>
    </w:p>
    <w:p w:rsid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</w:p>
    <w:p w:rsidR="00E37C3B" w:rsidRP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</w:p>
    <w:p w:rsidR="00E37C3B" w:rsidRPr="00E37C3B" w:rsidRDefault="00E37C3B" w:rsidP="00E37C3B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 w:rsidRPr="00E37C3B">
        <w:rPr>
          <w:rFonts w:ascii="Verdana" w:hAnsi="Verdana" w:cs="Calibri"/>
          <w:b/>
          <w:bCs/>
          <w:color w:val="000000"/>
          <w:sz w:val="20"/>
          <w:szCs w:val="20"/>
        </w:rPr>
        <w:t xml:space="preserve">Verständnisfragen: </w:t>
      </w:r>
    </w:p>
    <w:p w:rsidR="00E37C3B" w:rsidRPr="00E37C3B" w:rsidRDefault="00E37C3B" w:rsidP="00E37C3B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 w:rsidRPr="00E37C3B">
        <w:rPr>
          <w:rFonts w:ascii="Verdana" w:hAnsi="Verdana" w:cs="Calibri"/>
          <w:color w:val="000000"/>
          <w:sz w:val="20"/>
          <w:szCs w:val="20"/>
        </w:rPr>
        <w:t xml:space="preserve">Unter welchen historischen Umständen entwickelte sich die Veränderungsrate des BSP zu einer zentralen Kennziffer wirtschaftlicher Entwicklung? </w:t>
      </w:r>
    </w:p>
    <w:p w:rsidR="00E37C3B" w:rsidRPr="00E37C3B" w:rsidRDefault="00E37C3B" w:rsidP="00E37C3B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 w:rsidRPr="00E37C3B">
        <w:rPr>
          <w:rFonts w:ascii="Verdana" w:hAnsi="Verdana" w:cs="Calibri"/>
          <w:color w:val="000000"/>
          <w:sz w:val="20"/>
          <w:szCs w:val="20"/>
        </w:rPr>
        <w:t xml:space="preserve">Kennen Sie die theoretischen Grundlagen der VGR, und mögliche Kritik an der VGR? </w:t>
      </w:r>
    </w:p>
    <w:p w:rsidR="00E37C3B" w:rsidRPr="00E37C3B" w:rsidRDefault="00E37C3B" w:rsidP="00E37C3B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 w:rsidRPr="00E37C3B">
        <w:rPr>
          <w:rFonts w:ascii="Verdana" w:hAnsi="Verdana" w:cs="Calibri"/>
          <w:color w:val="000000"/>
          <w:sz w:val="20"/>
          <w:szCs w:val="20"/>
        </w:rPr>
        <w:t xml:space="preserve">Was unterscheidet exogene und endogene Entwicklungstheorie? Können Sie Beispiele für solche Theorien geben? </w:t>
      </w:r>
    </w:p>
    <w:p w:rsidR="00E37C3B" w:rsidRPr="00E37C3B" w:rsidRDefault="00E37C3B" w:rsidP="00E37C3B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 w:rsidRPr="00E37C3B">
        <w:rPr>
          <w:rFonts w:ascii="Verdana" w:hAnsi="Verdana" w:cs="Calibri"/>
          <w:color w:val="000000"/>
          <w:sz w:val="20"/>
          <w:szCs w:val="20"/>
        </w:rPr>
        <w:t xml:space="preserve">Womit beschäftigt sich die Sozialwahltheorie? Was sind ihre zentralen Erkenntnisse? </w:t>
      </w:r>
      <w:r w:rsidRPr="00E37C3B">
        <w:rPr>
          <w:rFonts w:ascii="Verdana" w:hAnsi="Verdana" w:cs="Calibri"/>
          <w:b/>
          <w:bCs/>
          <w:color w:val="000000"/>
          <w:sz w:val="20"/>
          <w:szCs w:val="20"/>
        </w:rPr>
        <w:t xml:space="preserve">Begriffe, Konzepte: </w:t>
      </w:r>
    </w:p>
    <w:p w:rsidR="00E37C3B" w:rsidRPr="00E37C3B" w:rsidRDefault="00E37C3B" w:rsidP="00E37C3B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 w:rsidRPr="00E37C3B">
        <w:rPr>
          <w:rFonts w:ascii="Verdana" w:hAnsi="Verdana" w:cs="Calibri"/>
          <w:i/>
          <w:iCs/>
          <w:color w:val="000000"/>
          <w:sz w:val="20"/>
          <w:szCs w:val="20"/>
        </w:rPr>
        <w:t xml:space="preserve">Sind Ihnen die folgenden Begriffe und Konzepte geläufig? </w:t>
      </w:r>
      <w:r w:rsidRPr="00E37C3B">
        <w:rPr>
          <w:rFonts w:ascii="Verdana" w:hAnsi="Verdana" w:cs="Calibri"/>
          <w:color w:val="000000"/>
          <w:sz w:val="20"/>
          <w:szCs w:val="20"/>
        </w:rPr>
        <w:t xml:space="preserve">Volkseinkommen, International Units, Volkswirtschaftliche Gesamtrechnung, BSP/BIP, Input-Output-Analyse, Makromodelle, MONIAC, Überflussgesellschaft, </w:t>
      </w:r>
      <w:proofErr w:type="spellStart"/>
      <w:r w:rsidRPr="00E37C3B">
        <w:rPr>
          <w:rFonts w:ascii="Verdana" w:hAnsi="Verdana" w:cs="Calibri"/>
          <w:color w:val="000000"/>
          <w:sz w:val="20"/>
          <w:szCs w:val="20"/>
        </w:rPr>
        <w:t>Dekolonialisierung</w:t>
      </w:r>
      <w:proofErr w:type="spellEnd"/>
      <w:r w:rsidRPr="00E37C3B">
        <w:rPr>
          <w:rFonts w:ascii="Verdana" w:hAnsi="Verdana" w:cs="Calibri"/>
          <w:color w:val="000000"/>
          <w:sz w:val="20"/>
          <w:szCs w:val="20"/>
        </w:rPr>
        <w:t>, Stadien wirtschaftlichen Wachstums, Modernisierungstheorie, Singer-</w:t>
      </w:r>
      <w:proofErr w:type="spellStart"/>
      <w:r w:rsidRPr="00E37C3B">
        <w:rPr>
          <w:rFonts w:ascii="Verdana" w:hAnsi="Verdana" w:cs="Calibri"/>
          <w:color w:val="000000"/>
          <w:sz w:val="20"/>
          <w:szCs w:val="20"/>
        </w:rPr>
        <w:t>Prebisch</w:t>
      </w:r>
      <w:proofErr w:type="spellEnd"/>
      <w:r w:rsidRPr="00E37C3B">
        <w:rPr>
          <w:rFonts w:ascii="Verdana" w:hAnsi="Verdana" w:cs="Calibri"/>
          <w:color w:val="000000"/>
          <w:sz w:val="20"/>
          <w:szCs w:val="20"/>
        </w:rPr>
        <w:t xml:space="preserve">-These, strukturelle Wirtschaftspolitik, Importsubstituierende Industrialisierung, Strategie des ungleichgewichtigen Wachstums, Dependenztheorie, HDI, Sozialwahlfunktion (SWF), Unmöglichkeitstheorem, </w:t>
      </w:r>
      <w:proofErr w:type="spellStart"/>
      <w:r w:rsidRPr="00E37C3B">
        <w:rPr>
          <w:rFonts w:ascii="Verdana" w:hAnsi="Verdana" w:cs="Calibri"/>
          <w:color w:val="000000"/>
          <w:sz w:val="20"/>
          <w:szCs w:val="20"/>
        </w:rPr>
        <w:t>Welfarismus</w:t>
      </w:r>
      <w:proofErr w:type="spellEnd"/>
      <w:r w:rsidRPr="00E37C3B">
        <w:rPr>
          <w:rFonts w:ascii="Verdana" w:hAnsi="Verdana" w:cs="Calibri"/>
          <w:color w:val="000000"/>
          <w:sz w:val="20"/>
          <w:szCs w:val="20"/>
        </w:rPr>
        <w:t xml:space="preserve">, Paradox des Liberalismus, </w:t>
      </w:r>
      <w:proofErr w:type="spellStart"/>
      <w:r w:rsidRPr="00E37C3B">
        <w:rPr>
          <w:rFonts w:ascii="Verdana" w:hAnsi="Verdana" w:cs="Calibri"/>
          <w:i/>
          <w:iCs/>
          <w:color w:val="000000"/>
          <w:sz w:val="20"/>
          <w:szCs w:val="20"/>
        </w:rPr>
        <w:t>Capabilities</w:t>
      </w:r>
      <w:proofErr w:type="spellEnd"/>
      <w:r w:rsidRPr="00E37C3B">
        <w:rPr>
          <w:rFonts w:ascii="Verdana" w:hAnsi="Verdana" w:cs="Calibri"/>
          <w:i/>
          <w:iCs/>
          <w:color w:val="000000"/>
          <w:sz w:val="20"/>
          <w:szCs w:val="20"/>
        </w:rPr>
        <w:t xml:space="preserve"> </w:t>
      </w:r>
    </w:p>
    <w:p w:rsidR="00E37C3B" w:rsidRPr="00E37C3B" w:rsidRDefault="00E37C3B" w:rsidP="00E37C3B">
      <w:pPr>
        <w:pStyle w:val="KeinLeerraum"/>
        <w:rPr>
          <w:rFonts w:ascii="Verdana" w:hAnsi="Verdana"/>
          <w:sz w:val="20"/>
          <w:szCs w:val="20"/>
        </w:rPr>
      </w:pP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</w:p>
    <w:p w:rsidR="009C30E1" w:rsidRPr="009C30E1" w:rsidRDefault="009C30E1" w:rsidP="009C30E1">
      <w:pPr>
        <w:pStyle w:val="KeinLeerraum"/>
        <w:rPr>
          <w:rFonts w:ascii="Verdana" w:hAnsi="Verdana"/>
          <w:sz w:val="20"/>
          <w:szCs w:val="20"/>
        </w:rPr>
      </w:pPr>
    </w:p>
    <w:p w:rsidR="009C30E1" w:rsidRPr="009C30E1" w:rsidRDefault="009C30E1" w:rsidP="009C3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9C30E1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9C30E1" w:rsidRPr="003B3CAE" w:rsidRDefault="009C30E1" w:rsidP="003B3CAE">
      <w:pPr>
        <w:pStyle w:val="KeinLeerraum"/>
        <w:rPr>
          <w:rFonts w:ascii="Verdana" w:hAnsi="Verdana"/>
          <w:sz w:val="20"/>
          <w:szCs w:val="20"/>
        </w:rPr>
      </w:pPr>
    </w:p>
    <w:p w:rsidR="003B3CAE" w:rsidRPr="003B3CAE" w:rsidRDefault="003B3CAE" w:rsidP="003B3CAE">
      <w:pPr>
        <w:pStyle w:val="KeinLeerraum"/>
        <w:rPr>
          <w:rFonts w:ascii="Verdana" w:hAnsi="Verdana"/>
          <w:sz w:val="20"/>
          <w:szCs w:val="20"/>
        </w:rPr>
      </w:pPr>
    </w:p>
    <w:sectPr w:rsidR="003B3CAE" w:rsidRPr="003B3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13E443"/>
    <w:multiLevelType w:val="hybridMultilevel"/>
    <w:tmpl w:val="DD1F439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CECB5C"/>
    <w:multiLevelType w:val="hybridMultilevel"/>
    <w:tmpl w:val="909312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9A05D3"/>
    <w:multiLevelType w:val="hybridMultilevel"/>
    <w:tmpl w:val="55996E4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548646"/>
    <w:multiLevelType w:val="hybridMultilevel"/>
    <w:tmpl w:val="21AD5A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7EC282"/>
    <w:multiLevelType w:val="hybridMultilevel"/>
    <w:tmpl w:val="EB7888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34B529"/>
    <w:multiLevelType w:val="hybridMultilevel"/>
    <w:tmpl w:val="53FFB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712797"/>
    <w:multiLevelType w:val="hybridMultilevel"/>
    <w:tmpl w:val="356A8B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9583DD"/>
    <w:multiLevelType w:val="hybridMultilevel"/>
    <w:tmpl w:val="F7208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67F0607"/>
    <w:multiLevelType w:val="hybridMultilevel"/>
    <w:tmpl w:val="70AFAF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3A69A5"/>
    <w:multiLevelType w:val="hybridMultilevel"/>
    <w:tmpl w:val="64DC7B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AE6EE6"/>
    <w:multiLevelType w:val="hybridMultilevel"/>
    <w:tmpl w:val="68145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6244B5"/>
    <w:multiLevelType w:val="hybridMultilevel"/>
    <w:tmpl w:val="96D29D8A"/>
    <w:lvl w:ilvl="0" w:tplc="3CC0FD5E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85488"/>
    <w:multiLevelType w:val="hybridMultilevel"/>
    <w:tmpl w:val="4CFE2FAC"/>
    <w:lvl w:ilvl="0" w:tplc="90604DC8">
      <w:start w:val="19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96055"/>
    <w:multiLevelType w:val="hybridMultilevel"/>
    <w:tmpl w:val="0B5DB2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2BC5DCF"/>
    <w:multiLevelType w:val="hybridMultilevel"/>
    <w:tmpl w:val="538C97B2"/>
    <w:lvl w:ilvl="0" w:tplc="CA1E7C48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C74D1"/>
    <w:multiLevelType w:val="hybridMultilevel"/>
    <w:tmpl w:val="F38E2908"/>
    <w:lvl w:ilvl="0" w:tplc="65028A3E">
      <w:start w:val="19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9A352"/>
    <w:multiLevelType w:val="hybridMultilevel"/>
    <w:tmpl w:val="9C8550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1B12F73"/>
    <w:multiLevelType w:val="hybridMultilevel"/>
    <w:tmpl w:val="A9021EA8"/>
    <w:lvl w:ilvl="0" w:tplc="178A5D7A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81D44"/>
    <w:multiLevelType w:val="hybridMultilevel"/>
    <w:tmpl w:val="B5088750"/>
    <w:lvl w:ilvl="0" w:tplc="9AE493A6">
      <w:start w:val="19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76B5C"/>
    <w:multiLevelType w:val="hybridMultilevel"/>
    <w:tmpl w:val="D42EA6A6"/>
    <w:lvl w:ilvl="0" w:tplc="2E248FF2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6758D"/>
    <w:multiLevelType w:val="hybridMultilevel"/>
    <w:tmpl w:val="BF2BC5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FDBB7A6"/>
    <w:multiLevelType w:val="hybridMultilevel"/>
    <w:tmpl w:val="FAA16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10249BF"/>
    <w:multiLevelType w:val="hybridMultilevel"/>
    <w:tmpl w:val="20A82502"/>
    <w:lvl w:ilvl="0" w:tplc="7D163AC0">
      <w:start w:val="19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D1464"/>
    <w:multiLevelType w:val="hybridMultilevel"/>
    <w:tmpl w:val="1F707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425A23"/>
    <w:multiLevelType w:val="hybridMultilevel"/>
    <w:tmpl w:val="81F63E5C"/>
    <w:lvl w:ilvl="0" w:tplc="1632C24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867"/>
    <w:multiLevelType w:val="hybridMultilevel"/>
    <w:tmpl w:val="0F408170"/>
    <w:lvl w:ilvl="0" w:tplc="638425B6">
      <w:start w:val="19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119CD"/>
    <w:multiLevelType w:val="hybridMultilevel"/>
    <w:tmpl w:val="B4C5F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6D24A47"/>
    <w:multiLevelType w:val="hybridMultilevel"/>
    <w:tmpl w:val="1AE5D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84D7B63"/>
    <w:multiLevelType w:val="hybridMultilevel"/>
    <w:tmpl w:val="9A2C3450"/>
    <w:lvl w:ilvl="0" w:tplc="6EF8AD8E">
      <w:start w:val="19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274B7"/>
    <w:multiLevelType w:val="hybridMultilevel"/>
    <w:tmpl w:val="A5BB5F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1FFA792"/>
    <w:multiLevelType w:val="hybridMultilevel"/>
    <w:tmpl w:val="9C34A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2EC7A87"/>
    <w:multiLevelType w:val="hybridMultilevel"/>
    <w:tmpl w:val="A1FA9024"/>
    <w:lvl w:ilvl="0" w:tplc="600288D4">
      <w:start w:val="19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C0C5D"/>
    <w:multiLevelType w:val="hybridMultilevel"/>
    <w:tmpl w:val="B792E8BE"/>
    <w:lvl w:ilvl="0" w:tplc="A4B06D62">
      <w:start w:val="1960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8539D"/>
    <w:multiLevelType w:val="hybridMultilevel"/>
    <w:tmpl w:val="766EC39A"/>
    <w:lvl w:ilvl="0" w:tplc="03E6C762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04D06"/>
    <w:multiLevelType w:val="hybridMultilevel"/>
    <w:tmpl w:val="D6E83730"/>
    <w:lvl w:ilvl="0" w:tplc="CB4E0BC4">
      <w:start w:val="19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03B60"/>
    <w:multiLevelType w:val="hybridMultilevel"/>
    <w:tmpl w:val="737A7DAA"/>
    <w:lvl w:ilvl="0" w:tplc="E08E4C38">
      <w:start w:val="19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ACEB1"/>
    <w:multiLevelType w:val="hybridMultilevel"/>
    <w:tmpl w:val="B961B8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266F3D0"/>
    <w:multiLevelType w:val="hybridMultilevel"/>
    <w:tmpl w:val="73DBD1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C6653AE"/>
    <w:multiLevelType w:val="hybridMultilevel"/>
    <w:tmpl w:val="12308A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E846DF3"/>
    <w:multiLevelType w:val="hybridMultilevel"/>
    <w:tmpl w:val="A02646EC"/>
    <w:lvl w:ilvl="0" w:tplc="413E69FE">
      <w:start w:val="19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2EB11"/>
    <w:multiLevelType w:val="hybridMultilevel"/>
    <w:tmpl w:val="3A0524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0"/>
  </w:num>
  <w:num w:numId="5">
    <w:abstractNumId w:val="33"/>
  </w:num>
  <w:num w:numId="6">
    <w:abstractNumId w:val="26"/>
  </w:num>
  <w:num w:numId="7">
    <w:abstractNumId w:val="5"/>
  </w:num>
  <w:num w:numId="8">
    <w:abstractNumId w:val="10"/>
  </w:num>
  <w:num w:numId="9">
    <w:abstractNumId w:val="2"/>
  </w:num>
  <w:num w:numId="10">
    <w:abstractNumId w:val="18"/>
  </w:num>
  <w:num w:numId="11">
    <w:abstractNumId w:val="28"/>
  </w:num>
  <w:num w:numId="12">
    <w:abstractNumId w:val="22"/>
  </w:num>
  <w:num w:numId="13">
    <w:abstractNumId w:val="21"/>
  </w:num>
  <w:num w:numId="14">
    <w:abstractNumId w:val="29"/>
  </w:num>
  <w:num w:numId="15">
    <w:abstractNumId w:val="23"/>
  </w:num>
  <w:num w:numId="16">
    <w:abstractNumId w:val="14"/>
  </w:num>
  <w:num w:numId="17">
    <w:abstractNumId w:val="11"/>
  </w:num>
  <w:num w:numId="18">
    <w:abstractNumId w:val="9"/>
  </w:num>
  <w:num w:numId="19">
    <w:abstractNumId w:val="16"/>
  </w:num>
  <w:num w:numId="20">
    <w:abstractNumId w:val="12"/>
  </w:num>
  <w:num w:numId="21">
    <w:abstractNumId w:val="6"/>
  </w:num>
  <w:num w:numId="22">
    <w:abstractNumId w:val="15"/>
  </w:num>
  <w:num w:numId="23">
    <w:abstractNumId w:val="31"/>
  </w:num>
  <w:num w:numId="24">
    <w:abstractNumId w:val="37"/>
  </w:num>
  <w:num w:numId="25">
    <w:abstractNumId w:val="40"/>
  </w:num>
  <w:num w:numId="26">
    <w:abstractNumId w:val="35"/>
  </w:num>
  <w:num w:numId="27">
    <w:abstractNumId w:val="8"/>
  </w:num>
  <w:num w:numId="28">
    <w:abstractNumId w:val="39"/>
  </w:num>
  <w:num w:numId="29">
    <w:abstractNumId w:val="13"/>
  </w:num>
  <w:num w:numId="30">
    <w:abstractNumId w:val="36"/>
  </w:num>
  <w:num w:numId="31">
    <w:abstractNumId w:val="38"/>
  </w:num>
  <w:num w:numId="32">
    <w:abstractNumId w:val="20"/>
  </w:num>
  <w:num w:numId="33">
    <w:abstractNumId w:val="4"/>
  </w:num>
  <w:num w:numId="34">
    <w:abstractNumId w:val="32"/>
  </w:num>
  <w:num w:numId="35">
    <w:abstractNumId w:val="34"/>
  </w:num>
  <w:num w:numId="36">
    <w:abstractNumId w:val="25"/>
  </w:num>
  <w:num w:numId="37">
    <w:abstractNumId w:val="7"/>
  </w:num>
  <w:num w:numId="38">
    <w:abstractNumId w:val="19"/>
  </w:num>
  <w:num w:numId="39">
    <w:abstractNumId w:val="1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7D"/>
    <w:rsid w:val="0016297D"/>
    <w:rsid w:val="003B3CAE"/>
    <w:rsid w:val="0043632A"/>
    <w:rsid w:val="00485C25"/>
    <w:rsid w:val="0059209B"/>
    <w:rsid w:val="007064AD"/>
    <w:rsid w:val="008234C0"/>
    <w:rsid w:val="00854A4E"/>
    <w:rsid w:val="009C30E1"/>
    <w:rsid w:val="00E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F64D-43A8-4624-A3DC-49FC7AD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297D"/>
    <w:pPr>
      <w:spacing w:after="0" w:line="240" w:lineRule="auto"/>
    </w:pPr>
  </w:style>
  <w:style w:type="paragraph" w:customStyle="1" w:styleId="Default">
    <w:name w:val="Default"/>
    <w:rsid w:val="00436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3</cp:revision>
  <dcterms:created xsi:type="dcterms:W3CDTF">2018-03-13T19:08:00Z</dcterms:created>
  <dcterms:modified xsi:type="dcterms:W3CDTF">2018-03-31T21:41:00Z</dcterms:modified>
</cp:coreProperties>
</file>