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0A" w:rsidRDefault="00813F0A" w:rsidP="0063081E">
      <w:pPr>
        <w:pStyle w:val="berschrift1"/>
      </w:pPr>
      <w:bookmarkStart w:id="0" w:name="_GoBack"/>
      <w:bookmarkEnd w:id="0"/>
      <w:r w:rsidRPr="0086496D">
        <w:t>Einige Grundlagen zur Europäischen Union</w:t>
      </w:r>
    </w:p>
    <w:p w:rsidR="007C4EAE" w:rsidRDefault="007C4EAE" w:rsidP="007C4EAE">
      <w:pPr>
        <w:rPr>
          <w:sz w:val="22"/>
          <w:szCs w:val="22"/>
        </w:rPr>
      </w:pPr>
    </w:p>
    <w:p w:rsidR="007C4EAE" w:rsidRPr="00623D41" w:rsidRDefault="0063081E" w:rsidP="007C4EAE">
      <w:pPr>
        <w:rPr>
          <w:rFonts w:ascii="Verdana" w:hAnsi="Verdana"/>
          <w:b/>
          <w:sz w:val="20"/>
          <w:szCs w:val="20"/>
          <w:u w:val="single"/>
        </w:rPr>
      </w:pPr>
      <w:r w:rsidRPr="00822390">
        <w:rPr>
          <w:rFonts w:ascii="Verdana" w:hAnsi="Verdana"/>
          <w:b/>
          <w:sz w:val="20"/>
          <w:szCs w:val="20"/>
        </w:rPr>
        <w:t xml:space="preserve">1.1. </w:t>
      </w:r>
      <w:r w:rsidRPr="00623D41">
        <w:rPr>
          <w:rFonts w:ascii="Verdana" w:hAnsi="Verdana"/>
          <w:b/>
          <w:sz w:val="20"/>
          <w:szCs w:val="20"/>
          <w:u w:val="single"/>
        </w:rPr>
        <w:t>Z</w:t>
      </w:r>
      <w:r w:rsidR="007C4EAE" w:rsidRPr="00623D41">
        <w:rPr>
          <w:rFonts w:ascii="Verdana" w:hAnsi="Verdana"/>
          <w:b/>
          <w:sz w:val="20"/>
          <w:szCs w:val="20"/>
          <w:u w:val="single"/>
        </w:rPr>
        <w:t>ur Vorlesung</w:t>
      </w:r>
    </w:p>
    <w:p w:rsidR="00BA70E1" w:rsidRDefault="00813F0A" w:rsidP="00813F0A">
      <w:pPr>
        <w:rPr>
          <w:rFonts w:ascii="Verdana" w:hAnsi="Verdana"/>
          <w:sz w:val="20"/>
          <w:szCs w:val="20"/>
        </w:rPr>
      </w:pPr>
      <w:r w:rsidRPr="00623D41">
        <w:rPr>
          <w:rFonts w:ascii="Verdana" w:hAnsi="Verdana"/>
          <w:sz w:val="20"/>
          <w:szCs w:val="20"/>
        </w:rPr>
        <w:t xml:space="preserve">Insgesamt wird ein </w:t>
      </w:r>
      <w:r w:rsidRPr="00623D41">
        <w:rPr>
          <w:rFonts w:ascii="Verdana" w:hAnsi="Verdana"/>
          <w:i/>
          <w:sz w:val="20"/>
          <w:szCs w:val="20"/>
        </w:rPr>
        <w:t>polit-ökonomischer</w:t>
      </w:r>
      <w:r w:rsidRPr="00623D41">
        <w:rPr>
          <w:rFonts w:ascii="Verdana" w:hAnsi="Verdana"/>
          <w:sz w:val="20"/>
          <w:szCs w:val="20"/>
        </w:rPr>
        <w:t xml:space="preserve"> Kontext zur Europäischen Sozialpolitik vorgestellt: </w:t>
      </w:r>
      <w:r w:rsidR="00BA70E1">
        <w:rPr>
          <w:rFonts w:ascii="Verdana" w:hAnsi="Verdana"/>
          <w:sz w:val="20"/>
          <w:szCs w:val="20"/>
        </w:rPr>
        <w:br/>
      </w:r>
      <w:r w:rsidR="00BA70E1">
        <w:rPr>
          <w:rFonts w:ascii="Verdana" w:hAnsi="Verdana"/>
          <w:sz w:val="20"/>
          <w:szCs w:val="20"/>
        </w:rPr>
        <w:br/>
      </w:r>
      <w:r w:rsidR="00BA70E1" w:rsidRPr="00623D41">
        <w:rPr>
          <w:rFonts w:ascii="Verdana" w:hAnsi="Verdana"/>
          <w:sz w:val="20"/>
          <w:szCs w:val="20"/>
        </w:rPr>
        <w:t xml:space="preserve">a) </w:t>
      </w:r>
      <w:r w:rsidRPr="00BA70E1">
        <w:rPr>
          <w:rFonts w:ascii="Verdana" w:hAnsi="Verdana"/>
          <w:b/>
          <w:sz w:val="20"/>
          <w:szCs w:val="20"/>
        </w:rPr>
        <w:t xml:space="preserve">Integration der </w:t>
      </w:r>
      <w:r w:rsidRPr="00BA70E1">
        <w:rPr>
          <w:rFonts w:ascii="Verdana" w:hAnsi="Verdana"/>
          <w:b/>
          <w:i/>
          <w:sz w:val="20"/>
          <w:szCs w:val="20"/>
        </w:rPr>
        <w:t>Märkte</w:t>
      </w:r>
      <w:r w:rsidRPr="00623D41">
        <w:rPr>
          <w:rFonts w:ascii="Verdana" w:hAnsi="Verdana"/>
          <w:sz w:val="20"/>
          <w:szCs w:val="20"/>
        </w:rPr>
        <w:t>: Beseitigung von Beschränkungen des „unverfälschten Wettbewerbs“. Ziel: Vollendung des Binnenmarktes durch Abbau von Transaktionskosten, Her</w:t>
      </w:r>
      <w:r w:rsidR="00BA70E1">
        <w:rPr>
          <w:rFonts w:ascii="Verdana" w:hAnsi="Verdana"/>
          <w:sz w:val="20"/>
          <w:szCs w:val="20"/>
        </w:rPr>
        <w:t>stellung allokativer Effizienz.</w:t>
      </w:r>
    </w:p>
    <w:p w:rsidR="00BA70E1" w:rsidRDefault="00BA70E1" w:rsidP="00813F0A">
      <w:pPr>
        <w:rPr>
          <w:rFonts w:ascii="Verdana" w:hAnsi="Verdana"/>
          <w:sz w:val="20"/>
          <w:szCs w:val="20"/>
        </w:rPr>
      </w:pPr>
    </w:p>
    <w:p w:rsidR="00602421" w:rsidRPr="00623D41" w:rsidRDefault="00813F0A" w:rsidP="00813F0A">
      <w:pPr>
        <w:rPr>
          <w:rFonts w:ascii="Verdana" w:hAnsi="Verdana"/>
          <w:sz w:val="20"/>
          <w:szCs w:val="20"/>
        </w:rPr>
      </w:pPr>
      <w:r w:rsidRPr="00623D41">
        <w:rPr>
          <w:rFonts w:ascii="Verdana" w:hAnsi="Verdana"/>
          <w:sz w:val="20"/>
          <w:szCs w:val="20"/>
        </w:rPr>
        <w:t xml:space="preserve">b) </w:t>
      </w:r>
      <w:r w:rsidRPr="00BA70E1">
        <w:rPr>
          <w:rFonts w:ascii="Verdana" w:hAnsi="Verdana"/>
          <w:b/>
          <w:sz w:val="20"/>
          <w:szCs w:val="20"/>
        </w:rPr>
        <w:t xml:space="preserve">Integration der </w:t>
      </w:r>
      <w:r w:rsidRPr="00BA70E1">
        <w:rPr>
          <w:rFonts w:ascii="Verdana" w:hAnsi="Verdana"/>
          <w:b/>
          <w:i/>
          <w:sz w:val="20"/>
          <w:szCs w:val="20"/>
        </w:rPr>
        <w:t>Politik</w:t>
      </w:r>
      <w:r w:rsidRPr="00623D41">
        <w:rPr>
          <w:rFonts w:ascii="Verdana" w:hAnsi="Verdana"/>
          <w:sz w:val="20"/>
          <w:szCs w:val="20"/>
        </w:rPr>
        <w:t>: Ziel ist eine Angleichung nationaler Institutionen durch Harmonierung, Systemwettbewerb oder EuGH. Der Wettbewerb wird mittels Harmonisierung, sprich: europäische Monopolisierung, beschränkt. Allokationskosten werden erhöht (Meyer 2002, 229).</w:t>
      </w:r>
    </w:p>
    <w:p w:rsidR="00A7289D" w:rsidRPr="00623D41" w:rsidRDefault="00A7289D" w:rsidP="00813F0A">
      <w:pPr>
        <w:rPr>
          <w:rFonts w:ascii="Verdana" w:hAnsi="Verdana"/>
          <w:sz w:val="20"/>
          <w:szCs w:val="20"/>
        </w:rPr>
      </w:pPr>
    </w:p>
    <w:p w:rsidR="00A7289D" w:rsidRPr="00623D41" w:rsidRDefault="00A7289D" w:rsidP="00813F0A">
      <w:pPr>
        <w:rPr>
          <w:rFonts w:ascii="Verdana" w:hAnsi="Verdana"/>
          <w:sz w:val="20"/>
          <w:szCs w:val="20"/>
        </w:rPr>
      </w:pPr>
      <w:r w:rsidRPr="00623D41">
        <w:rPr>
          <w:rFonts w:ascii="Verdana" w:hAnsi="Verdana"/>
          <w:sz w:val="20"/>
          <w:szCs w:val="20"/>
        </w:rPr>
        <w:t>Institutionen als ordnungspolitische Regulierungen des Marktes zur sozialpolitischen Gestaltung werden sowohl von nationalen Systemen (Staaten) als auch vom supranationalen System (EU) zur Verfügung gestellt.</w:t>
      </w:r>
    </w:p>
    <w:p w:rsidR="00A7289D" w:rsidRPr="00623D41" w:rsidRDefault="00A7289D" w:rsidP="00813F0A">
      <w:pPr>
        <w:rPr>
          <w:rFonts w:ascii="Verdana" w:hAnsi="Verdana"/>
          <w:sz w:val="20"/>
          <w:szCs w:val="20"/>
        </w:rPr>
      </w:pPr>
    </w:p>
    <w:p w:rsidR="00A7289D" w:rsidRPr="00623D41" w:rsidRDefault="00A7289D" w:rsidP="00813F0A">
      <w:pPr>
        <w:rPr>
          <w:rFonts w:ascii="Verdana" w:hAnsi="Verdana"/>
          <w:sz w:val="20"/>
          <w:szCs w:val="20"/>
        </w:rPr>
      </w:pPr>
      <w:r w:rsidRPr="00623D41">
        <w:rPr>
          <w:rFonts w:ascii="Verdana" w:hAnsi="Verdana"/>
          <w:sz w:val="20"/>
          <w:szCs w:val="20"/>
        </w:rPr>
        <w:t xml:space="preserve">Das vermutete gemeinsame Ziel lautet: den Bürger sozialpolitisch so einzubinden, dass sie in ihren verschiedenen Lebenslagen hinreichend geschützt und versorgt werden sowie im Ergebnis ein Maximum an Wohlfahrt erhalten, ihre Lebensbedingungen optimiert werden. Letzteres ist normativ das dezidierte </w:t>
      </w:r>
      <w:proofErr w:type="spellStart"/>
      <w:r w:rsidRPr="00623D41">
        <w:rPr>
          <w:rFonts w:ascii="Verdana" w:hAnsi="Verdana"/>
          <w:sz w:val="20"/>
          <w:szCs w:val="20"/>
        </w:rPr>
        <w:t>Oberziel</w:t>
      </w:r>
      <w:proofErr w:type="spellEnd"/>
      <w:r w:rsidRPr="00623D41">
        <w:rPr>
          <w:rFonts w:ascii="Verdana" w:hAnsi="Verdana"/>
          <w:sz w:val="20"/>
          <w:szCs w:val="20"/>
        </w:rPr>
        <w:t xml:space="preserve"> der EU, bei Zielverfehlung besteht eine Exit-Option der Staaten.</w:t>
      </w:r>
    </w:p>
    <w:p w:rsidR="00A7289D" w:rsidRPr="00623D41" w:rsidRDefault="00A7289D" w:rsidP="00813F0A">
      <w:pPr>
        <w:rPr>
          <w:rFonts w:ascii="Verdana" w:hAnsi="Verdana"/>
          <w:sz w:val="20"/>
          <w:szCs w:val="20"/>
        </w:rPr>
      </w:pPr>
      <w:r w:rsidRPr="00623D41">
        <w:rPr>
          <w:rFonts w:ascii="Verdana" w:hAnsi="Verdana"/>
          <w:sz w:val="20"/>
          <w:szCs w:val="20"/>
        </w:rPr>
        <w:t>Aber auch identische Methoden?</w:t>
      </w:r>
    </w:p>
    <w:p w:rsidR="00A7289D" w:rsidRPr="00623D41" w:rsidRDefault="00A7289D" w:rsidP="00813F0A">
      <w:pPr>
        <w:rPr>
          <w:rFonts w:ascii="Verdana" w:hAnsi="Verdana"/>
          <w:sz w:val="20"/>
          <w:szCs w:val="20"/>
        </w:rPr>
      </w:pPr>
    </w:p>
    <w:p w:rsidR="00A7289D" w:rsidRPr="00623D41" w:rsidRDefault="00A7289D" w:rsidP="00813F0A">
      <w:pPr>
        <w:rPr>
          <w:rFonts w:ascii="Verdana" w:hAnsi="Verdana"/>
          <w:sz w:val="20"/>
          <w:szCs w:val="20"/>
        </w:rPr>
      </w:pPr>
      <w:r w:rsidRPr="00623D41">
        <w:rPr>
          <w:rFonts w:ascii="Verdana" w:hAnsi="Verdana"/>
          <w:sz w:val="20"/>
          <w:szCs w:val="20"/>
        </w:rPr>
        <w:t>Setzt die EU nur liberale Instrumente zur Generierung von Wohlfahrt ein, oder strebt sie auch eine Sozialunion an?</w:t>
      </w:r>
    </w:p>
    <w:p w:rsidR="004B7545" w:rsidRPr="00623D41" w:rsidRDefault="004B7545" w:rsidP="00813F0A">
      <w:pPr>
        <w:rPr>
          <w:rFonts w:ascii="Verdana" w:hAnsi="Verdana"/>
          <w:sz w:val="20"/>
          <w:szCs w:val="20"/>
        </w:rPr>
      </w:pPr>
    </w:p>
    <w:p w:rsidR="004B7545" w:rsidRPr="00623D41" w:rsidRDefault="0063081E" w:rsidP="00813F0A">
      <w:pPr>
        <w:rPr>
          <w:rFonts w:ascii="Verdana" w:hAnsi="Verdana"/>
          <w:sz w:val="20"/>
          <w:szCs w:val="20"/>
        </w:rPr>
      </w:pPr>
      <w:r w:rsidRPr="00623D41">
        <w:rPr>
          <w:rFonts w:ascii="Verdana" w:hAnsi="Verdana"/>
          <w:sz w:val="20"/>
          <w:szCs w:val="20"/>
        </w:rPr>
        <w:t xml:space="preserve">Politische Ökonomie: </w:t>
      </w:r>
      <w:r w:rsidR="004B7545" w:rsidRPr="00623D41">
        <w:rPr>
          <w:rFonts w:ascii="Verdana" w:hAnsi="Verdana"/>
          <w:sz w:val="20"/>
          <w:szCs w:val="20"/>
        </w:rPr>
        <w:t>Einerseits wird der ökonomische Ablauf stark durch politische Entscheidungen bestimmt, andererseits hängen politische Entscheidungen in erheblichem Umfang von wirtschaftlichen Faktoren ab, da das Überleben einer Regierung in hohem Maße von sozialen und wirtschaftspolitischen Effekten ab (Output-Legitimation).</w:t>
      </w:r>
    </w:p>
    <w:p w:rsidR="004B7545" w:rsidRPr="00623D41" w:rsidRDefault="004B7545" w:rsidP="00813F0A">
      <w:pPr>
        <w:rPr>
          <w:rFonts w:ascii="Verdana" w:hAnsi="Verdana"/>
          <w:sz w:val="20"/>
          <w:szCs w:val="20"/>
        </w:rPr>
      </w:pPr>
    </w:p>
    <w:p w:rsidR="007C4EAE" w:rsidRPr="00623D41" w:rsidRDefault="0063081E" w:rsidP="00813F0A">
      <w:pPr>
        <w:rPr>
          <w:rFonts w:ascii="Verdana" w:hAnsi="Verdana"/>
          <w:sz w:val="20"/>
          <w:szCs w:val="20"/>
        </w:rPr>
      </w:pPr>
      <w:r w:rsidRPr="00623D41">
        <w:rPr>
          <w:rFonts w:ascii="Verdana" w:hAnsi="Verdana"/>
          <w:sz w:val="20"/>
          <w:szCs w:val="20"/>
        </w:rPr>
        <w:t>-</w:t>
      </w:r>
    </w:p>
    <w:p w:rsidR="007C4EAE" w:rsidRPr="00623D41" w:rsidRDefault="007C4EAE" w:rsidP="00813F0A">
      <w:pPr>
        <w:rPr>
          <w:rFonts w:ascii="Verdana" w:hAnsi="Verdana"/>
          <w:sz w:val="20"/>
          <w:szCs w:val="20"/>
        </w:rPr>
      </w:pPr>
    </w:p>
    <w:p w:rsidR="007C4EAE" w:rsidRPr="00822390" w:rsidRDefault="007C4EAE" w:rsidP="00813F0A">
      <w:pPr>
        <w:rPr>
          <w:rFonts w:ascii="Verdana" w:hAnsi="Verdana"/>
          <w:b/>
          <w:sz w:val="20"/>
          <w:szCs w:val="20"/>
        </w:rPr>
      </w:pPr>
      <w:r w:rsidRPr="00822390">
        <w:rPr>
          <w:rFonts w:ascii="Verdana" w:hAnsi="Verdana"/>
          <w:b/>
          <w:sz w:val="20"/>
          <w:szCs w:val="20"/>
        </w:rPr>
        <w:t xml:space="preserve">1.3. </w:t>
      </w:r>
      <w:r w:rsidRPr="00822390">
        <w:rPr>
          <w:rFonts w:ascii="Verdana" w:hAnsi="Verdana"/>
          <w:b/>
          <w:sz w:val="20"/>
          <w:szCs w:val="20"/>
          <w:u w:val="single"/>
        </w:rPr>
        <w:t>Formales zur EU</w:t>
      </w:r>
    </w:p>
    <w:p w:rsidR="007C4EAE" w:rsidRPr="00623D41" w:rsidRDefault="007C4EAE" w:rsidP="00813F0A">
      <w:pPr>
        <w:rPr>
          <w:rFonts w:ascii="Verdana" w:hAnsi="Verdana"/>
          <w:i/>
          <w:sz w:val="20"/>
          <w:szCs w:val="20"/>
        </w:rPr>
      </w:pPr>
    </w:p>
    <w:p w:rsidR="007C4EAE" w:rsidRPr="00623D41" w:rsidRDefault="002E2A8B" w:rsidP="00813F0A">
      <w:pPr>
        <w:rPr>
          <w:rFonts w:ascii="Verdana" w:hAnsi="Verdana"/>
          <w:sz w:val="20"/>
          <w:szCs w:val="20"/>
        </w:rPr>
      </w:pPr>
      <w:r w:rsidRPr="00623D41">
        <w:rPr>
          <w:rFonts w:ascii="Verdana" w:hAnsi="Verdana"/>
          <w:sz w:val="20"/>
          <w:szCs w:val="20"/>
        </w:rPr>
        <w:t>„</w:t>
      </w:r>
      <w:proofErr w:type="spellStart"/>
      <w:r w:rsidRPr="00623D41">
        <w:rPr>
          <w:rFonts w:ascii="Verdana" w:hAnsi="Verdana"/>
          <w:b/>
          <w:sz w:val="20"/>
          <w:szCs w:val="20"/>
        </w:rPr>
        <w:t>acquis</w:t>
      </w:r>
      <w:proofErr w:type="spellEnd"/>
      <w:r w:rsidRPr="00623D41">
        <w:rPr>
          <w:rFonts w:ascii="Verdana" w:hAnsi="Verdana"/>
          <w:b/>
          <w:sz w:val="20"/>
          <w:szCs w:val="20"/>
        </w:rPr>
        <w:t xml:space="preserve"> </w:t>
      </w:r>
      <w:proofErr w:type="spellStart"/>
      <w:r w:rsidRPr="00623D41">
        <w:rPr>
          <w:rFonts w:ascii="Verdana" w:hAnsi="Verdana"/>
          <w:b/>
          <w:sz w:val="20"/>
          <w:szCs w:val="20"/>
        </w:rPr>
        <w:t>communautaire</w:t>
      </w:r>
      <w:proofErr w:type="spellEnd"/>
      <w:r w:rsidRPr="00623D41">
        <w:rPr>
          <w:rFonts w:ascii="Verdana" w:hAnsi="Verdana"/>
          <w:sz w:val="20"/>
          <w:szCs w:val="20"/>
        </w:rPr>
        <w:t xml:space="preserve">“: europäische Union, die alle Maßnahmen und Pflichten (alle EU-Verträge, Richtlinien, Verordnungen, EuGH-Urteile) seit Bestehen der </w:t>
      </w:r>
      <w:proofErr w:type="spellStart"/>
      <w:r w:rsidRPr="00623D41">
        <w:rPr>
          <w:rFonts w:ascii="Verdana" w:hAnsi="Verdana"/>
          <w:sz w:val="20"/>
          <w:szCs w:val="20"/>
        </w:rPr>
        <w:t>Montanuion</w:t>
      </w:r>
      <w:proofErr w:type="spellEnd"/>
      <w:r w:rsidRPr="00623D41">
        <w:rPr>
          <w:rFonts w:ascii="Verdana" w:hAnsi="Verdana"/>
          <w:sz w:val="20"/>
          <w:szCs w:val="20"/>
        </w:rPr>
        <w:t xml:space="preserve"> (1952) bis heute umfasst. Alle Mitgliedsstaaten soll(t)en ihn in nationales Recht umgesetzt haben.</w:t>
      </w:r>
    </w:p>
    <w:p w:rsidR="00A7289D" w:rsidRPr="00623D41" w:rsidRDefault="00A7289D" w:rsidP="00813F0A">
      <w:pPr>
        <w:rPr>
          <w:rFonts w:ascii="Verdana" w:hAnsi="Verdana"/>
          <w:sz w:val="20"/>
          <w:szCs w:val="20"/>
        </w:rPr>
      </w:pPr>
    </w:p>
    <w:p w:rsidR="00A7289D" w:rsidRPr="00623D41" w:rsidRDefault="002E2A8B" w:rsidP="00813F0A">
      <w:pPr>
        <w:rPr>
          <w:rFonts w:ascii="Verdana" w:hAnsi="Verdana"/>
          <w:sz w:val="20"/>
          <w:szCs w:val="20"/>
        </w:rPr>
      </w:pPr>
      <w:proofErr w:type="spellStart"/>
      <w:r w:rsidRPr="00623D41">
        <w:rPr>
          <w:rFonts w:ascii="Verdana" w:hAnsi="Verdana"/>
          <w:sz w:val="20"/>
          <w:szCs w:val="20"/>
        </w:rPr>
        <w:t>Idealiter</w:t>
      </w:r>
      <w:proofErr w:type="spellEnd"/>
      <w:r w:rsidRPr="00623D41">
        <w:rPr>
          <w:rFonts w:ascii="Verdana" w:hAnsi="Verdana"/>
          <w:sz w:val="20"/>
          <w:szCs w:val="20"/>
        </w:rPr>
        <w:t xml:space="preserve"> wird auf der europäischen Ebene versucht, supranationale Akte allgemein im Konsens (</w:t>
      </w:r>
      <w:r w:rsidRPr="00623D41">
        <w:rPr>
          <w:rFonts w:ascii="Verdana" w:hAnsi="Verdana"/>
          <w:b/>
          <w:sz w:val="20"/>
          <w:szCs w:val="20"/>
        </w:rPr>
        <w:t>Pareto-Optimum</w:t>
      </w:r>
      <w:r w:rsidRPr="00623D41">
        <w:rPr>
          <w:rFonts w:ascii="Verdana" w:hAnsi="Verdana"/>
          <w:sz w:val="20"/>
          <w:szCs w:val="20"/>
        </w:rPr>
        <w:t xml:space="preserve">) durch intensive Verhandlungen zwischen den unterschiedlichen volkswirtschaftlichen Präferenzräumen zu entscheiden. Ein </w:t>
      </w:r>
      <w:r w:rsidRPr="00623D41">
        <w:rPr>
          <w:rFonts w:ascii="Verdana" w:hAnsi="Verdana"/>
          <w:b/>
          <w:sz w:val="20"/>
          <w:szCs w:val="20"/>
        </w:rPr>
        <w:t>Vertrag</w:t>
      </w:r>
      <w:r w:rsidRPr="00623D41">
        <w:rPr>
          <w:rFonts w:ascii="Verdana" w:hAnsi="Verdana"/>
          <w:sz w:val="20"/>
          <w:szCs w:val="20"/>
        </w:rPr>
        <w:t xml:space="preserve"> impliziert, dass es keine Verlierer gibt. Realisiert auch durch </w:t>
      </w:r>
      <w:proofErr w:type="spellStart"/>
      <w:r w:rsidRPr="00623D41">
        <w:rPr>
          <w:rFonts w:ascii="Verdana" w:hAnsi="Verdana"/>
          <w:sz w:val="20"/>
          <w:szCs w:val="20"/>
        </w:rPr>
        <w:t>deliberativ</w:t>
      </w:r>
      <w:proofErr w:type="spellEnd"/>
      <w:r w:rsidRPr="00623D41">
        <w:rPr>
          <w:rFonts w:ascii="Verdana" w:hAnsi="Verdana"/>
          <w:sz w:val="20"/>
          <w:szCs w:val="20"/>
        </w:rPr>
        <w:t xml:space="preserve"> organisiertes Anreizmodell von </w:t>
      </w:r>
      <w:proofErr w:type="spellStart"/>
      <w:r w:rsidRPr="00623D41">
        <w:rPr>
          <w:rFonts w:ascii="Verdana" w:hAnsi="Verdana"/>
          <w:i/>
          <w:sz w:val="20"/>
          <w:szCs w:val="20"/>
        </w:rPr>
        <w:t>package</w:t>
      </w:r>
      <w:proofErr w:type="spellEnd"/>
      <w:r w:rsidRPr="00623D41">
        <w:rPr>
          <w:rFonts w:ascii="Verdana" w:hAnsi="Verdana"/>
          <w:i/>
          <w:sz w:val="20"/>
          <w:szCs w:val="20"/>
        </w:rPr>
        <w:t xml:space="preserve"> </w:t>
      </w:r>
      <w:proofErr w:type="spellStart"/>
      <w:r w:rsidRPr="00623D41">
        <w:rPr>
          <w:rFonts w:ascii="Verdana" w:hAnsi="Verdana"/>
          <w:i/>
          <w:sz w:val="20"/>
          <w:szCs w:val="20"/>
        </w:rPr>
        <w:t>deals</w:t>
      </w:r>
      <w:proofErr w:type="spellEnd"/>
      <w:r w:rsidRPr="00623D41">
        <w:rPr>
          <w:rFonts w:ascii="Verdana" w:hAnsi="Verdana"/>
          <w:i/>
          <w:sz w:val="20"/>
          <w:szCs w:val="20"/>
        </w:rPr>
        <w:t xml:space="preserve">, log </w:t>
      </w:r>
      <w:proofErr w:type="spellStart"/>
      <w:r w:rsidRPr="00623D41">
        <w:rPr>
          <w:rFonts w:ascii="Verdana" w:hAnsi="Verdana"/>
          <w:i/>
          <w:sz w:val="20"/>
          <w:szCs w:val="20"/>
        </w:rPr>
        <w:t>rolling</w:t>
      </w:r>
      <w:proofErr w:type="spellEnd"/>
      <w:r w:rsidRPr="00623D41">
        <w:rPr>
          <w:rFonts w:ascii="Verdana" w:hAnsi="Verdana"/>
          <w:sz w:val="20"/>
          <w:szCs w:val="20"/>
        </w:rPr>
        <w:t>.</w:t>
      </w:r>
    </w:p>
    <w:p w:rsidR="002E2A8B" w:rsidRPr="00623D41" w:rsidRDefault="002E2A8B" w:rsidP="00813F0A">
      <w:pPr>
        <w:rPr>
          <w:rFonts w:ascii="Verdana" w:hAnsi="Verdana"/>
          <w:sz w:val="20"/>
          <w:szCs w:val="20"/>
        </w:rPr>
      </w:pPr>
    </w:p>
    <w:p w:rsidR="002E2A8B" w:rsidRPr="00623D41" w:rsidRDefault="002E2A8B" w:rsidP="002E2A8B">
      <w:pPr>
        <w:rPr>
          <w:rFonts w:ascii="Verdana" w:hAnsi="Verdana"/>
          <w:sz w:val="20"/>
          <w:szCs w:val="20"/>
        </w:rPr>
      </w:pPr>
      <w:r w:rsidRPr="00623D41">
        <w:rPr>
          <w:rFonts w:ascii="Verdana" w:hAnsi="Verdana"/>
          <w:sz w:val="20"/>
          <w:szCs w:val="20"/>
        </w:rPr>
        <w:t xml:space="preserve">Konflikt zur Einigung aller Mitgliedstaaten auf eine Übereinkunft als </w:t>
      </w:r>
      <w:r w:rsidRPr="00623D41">
        <w:rPr>
          <w:rFonts w:ascii="Verdana" w:hAnsi="Verdana"/>
          <w:b/>
          <w:sz w:val="20"/>
          <w:szCs w:val="20"/>
        </w:rPr>
        <w:t>Gefangenendilemma</w:t>
      </w:r>
      <w:r w:rsidRPr="00623D41">
        <w:rPr>
          <w:rFonts w:ascii="Verdana" w:hAnsi="Verdana"/>
          <w:sz w:val="20"/>
          <w:szCs w:val="20"/>
        </w:rPr>
        <w:t>: Existiert ein Konsens bezüglich der Regeln und werden diese befolgt, dann wird insgesamt der höchstmögliche Nutzen aller Beteiligten realisiert. Schert ein Akteur aus den Regeln aus, während andere Akteure daran festhalten, kann der Ausscherende gegenüber der vorherigen Situation einen Nutzengewinn erzielen. Zugleich bürdet er anderen Akteuren deutliche Verluste auf. Bestehen keine Regeln oder werden sie von keinem Akteur eingehalten, so stellt sich die - gesamthaft gesehen - schlechteste Situation ein.</w:t>
      </w:r>
    </w:p>
    <w:p w:rsidR="0063081E" w:rsidRPr="00623D41" w:rsidRDefault="0063081E" w:rsidP="002E2A8B">
      <w:pPr>
        <w:rPr>
          <w:rFonts w:ascii="Verdana" w:hAnsi="Verdana"/>
          <w:sz w:val="20"/>
          <w:szCs w:val="20"/>
        </w:rPr>
      </w:pPr>
    </w:p>
    <w:p w:rsidR="0063081E" w:rsidRPr="00623D41" w:rsidRDefault="0063081E" w:rsidP="002E2A8B">
      <w:pPr>
        <w:rPr>
          <w:rFonts w:ascii="Verdana" w:hAnsi="Verdana"/>
          <w:sz w:val="20"/>
          <w:szCs w:val="20"/>
        </w:rPr>
      </w:pPr>
      <w:r w:rsidRPr="00623D41">
        <w:rPr>
          <w:rFonts w:ascii="Verdana" w:hAnsi="Verdana"/>
          <w:sz w:val="20"/>
          <w:szCs w:val="20"/>
        </w:rPr>
        <w:lastRenderedPageBreak/>
        <w:t>Primärrecht: AEUV, EUV, Charta der Grundrechte (mit Vorbehalt)</w:t>
      </w:r>
    </w:p>
    <w:p w:rsidR="0063081E" w:rsidRPr="00623D41" w:rsidRDefault="0063081E" w:rsidP="002E2A8B">
      <w:pPr>
        <w:rPr>
          <w:rFonts w:ascii="Verdana" w:hAnsi="Verdana"/>
          <w:sz w:val="20"/>
          <w:szCs w:val="20"/>
        </w:rPr>
      </w:pPr>
    </w:p>
    <w:p w:rsidR="0063081E" w:rsidRPr="00623D41" w:rsidRDefault="0063081E" w:rsidP="002E2A8B">
      <w:pPr>
        <w:rPr>
          <w:rFonts w:ascii="Verdana" w:hAnsi="Verdana"/>
          <w:sz w:val="20"/>
          <w:szCs w:val="20"/>
        </w:rPr>
      </w:pPr>
      <w:r w:rsidRPr="00623D41">
        <w:rPr>
          <w:rFonts w:ascii="Verdana" w:hAnsi="Verdana"/>
          <w:b/>
          <w:sz w:val="20"/>
          <w:szCs w:val="20"/>
        </w:rPr>
        <w:t>Verteidigungswirtschaft</w:t>
      </w:r>
      <w:r w:rsidRPr="00623D41">
        <w:rPr>
          <w:rFonts w:ascii="Verdana" w:hAnsi="Verdana"/>
          <w:sz w:val="20"/>
          <w:szCs w:val="20"/>
        </w:rPr>
        <w:t xml:space="preserve"> wird dem Binnenmarkt entzogen, nationale </w:t>
      </w:r>
      <w:proofErr w:type="spellStart"/>
      <w:r w:rsidRPr="00623D41">
        <w:rPr>
          <w:rFonts w:ascii="Verdana" w:hAnsi="Verdana"/>
          <w:sz w:val="20"/>
          <w:szCs w:val="20"/>
        </w:rPr>
        <w:t>Rüstungsnunternehmen</w:t>
      </w:r>
      <w:proofErr w:type="spellEnd"/>
      <w:r w:rsidRPr="00623D41">
        <w:rPr>
          <w:rFonts w:ascii="Verdana" w:hAnsi="Verdana"/>
          <w:sz w:val="20"/>
          <w:szCs w:val="20"/>
        </w:rPr>
        <w:t xml:space="preserve"> werden in der Regel von öffentlichen Auftragsgeber als </w:t>
      </w:r>
      <w:proofErr w:type="gramStart"/>
      <w:r w:rsidRPr="00623D41">
        <w:rPr>
          <w:rFonts w:ascii="Verdana" w:hAnsi="Verdana"/>
          <w:sz w:val="20"/>
          <w:szCs w:val="20"/>
        </w:rPr>
        <w:t>einzigen</w:t>
      </w:r>
      <w:proofErr w:type="gramEnd"/>
      <w:r w:rsidRPr="00623D41">
        <w:rPr>
          <w:rFonts w:ascii="Verdana" w:hAnsi="Verdana"/>
          <w:sz w:val="20"/>
          <w:szCs w:val="20"/>
        </w:rPr>
        <w:t xml:space="preserve"> Nachfrage privilegiert. </w:t>
      </w:r>
      <w:r w:rsidRPr="00623D41">
        <w:rPr>
          <w:rFonts w:ascii="Verdana" w:hAnsi="Verdana"/>
          <w:b/>
          <w:sz w:val="20"/>
          <w:szCs w:val="20"/>
        </w:rPr>
        <w:t>Agrar</w:t>
      </w:r>
      <w:r w:rsidRPr="00623D41">
        <w:rPr>
          <w:rFonts w:ascii="Verdana" w:hAnsi="Verdana"/>
          <w:sz w:val="20"/>
          <w:szCs w:val="20"/>
        </w:rPr>
        <w:t xml:space="preserve">-, </w:t>
      </w:r>
      <w:r w:rsidRPr="00623D41">
        <w:rPr>
          <w:rFonts w:ascii="Verdana" w:hAnsi="Verdana"/>
          <w:b/>
          <w:sz w:val="20"/>
          <w:szCs w:val="20"/>
        </w:rPr>
        <w:t>Fischerei</w:t>
      </w:r>
      <w:r w:rsidRPr="00623D41">
        <w:rPr>
          <w:rFonts w:ascii="Verdana" w:hAnsi="Verdana"/>
          <w:sz w:val="20"/>
          <w:szCs w:val="20"/>
        </w:rPr>
        <w:t xml:space="preserve">-, und </w:t>
      </w:r>
      <w:r w:rsidRPr="00623D41">
        <w:rPr>
          <w:rFonts w:ascii="Verdana" w:hAnsi="Verdana"/>
          <w:b/>
          <w:sz w:val="20"/>
          <w:szCs w:val="20"/>
        </w:rPr>
        <w:t>Verkehrspolitik</w:t>
      </w:r>
      <w:r w:rsidRPr="00623D41">
        <w:rPr>
          <w:rFonts w:ascii="Verdana" w:hAnsi="Verdana"/>
          <w:sz w:val="20"/>
          <w:szCs w:val="20"/>
        </w:rPr>
        <w:t xml:space="preserve"> nehmen aufgrund der meist öffentlichen Nachfrage nach diesen Gütern auch Sonderrollen ein.</w:t>
      </w:r>
    </w:p>
    <w:p w:rsidR="002E2A8B" w:rsidRPr="00623D41" w:rsidRDefault="002E2A8B" w:rsidP="00813F0A">
      <w:pPr>
        <w:rPr>
          <w:rFonts w:ascii="Verdana" w:hAnsi="Verdana"/>
          <w:sz w:val="20"/>
          <w:szCs w:val="20"/>
        </w:rPr>
      </w:pPr>
    </w:p>
    <w:p w:rsidR="00A7289D" w:rsidRPr="00623D41" w:rsidRDefault="0063081E" w:rsidP="00813F0A">
      <w:pPr>
        <w:rPr>
          <w:rFonts w:ascii="Verdana" w:hAnsi="Verdana"/>
          <w:sz w:val="20"/>
          <w:szCs w:val="20"/>
        </w:rPr>
      </w:pPr>
      <w:r w:rsidRPr="00623D41">
        <w:rPr>
          <w:rFonts w:ascii="Verdana" w:hAnsi="Verdana"/>
          <w:sz w:val="20"/>
          <w:szCs w:val="20"/>
        </w:rPr>
        <w:t>Rechtsverbindliche</w:t>
      </w:r>
      <w:r w:rsidRPr="00623D41">
        <w:rPr>
          <w:rFonts w:ascii="Verdana" w:hAnsi="Verdana"/>
          <w:b/>
          <w:sz w:val="20"/>
          <w:szCs w:val="20"/>
        </w:rPr>
        <w:t xml:space="preserve"> </w:t>
      </w:r>
      <w:r w:rsidRPr="00623D41">
        <w:rPr>
          <w:rFonts w:ascii="Verdana" w:hAnsi="Verdana"/>
          <w:i/>
          <w:sz w:val="20"/>
          <w:szCs w:val="20"/>
        </w:rPr>
        <w:t>Absprachen</w:t>
      </w:r>
      <w:r w:rsidRPr="00623D41">
        <w:rPr>
          <w:rFonts w:ascii="Verdana" w:hAnsi="Verdana"/>
          <w:sz w:val="20"/>
          <w:szCs w:val="20"/>
        </w:rPr>
        <w:t xml:space="preserve"> werden vom EuGH aufgrund der allgemeinen Suprematie des </w:t>
      </w:r>
      <w:proofErr w:type="gramStart"/>
      <w:r w:rsidRPr="00623D41">
        <w:rPr>
          <w:rFonts w:ascii="Verdana" w:hAnsi="Verdana"/>
          <w:b/>
          <w:sz w:val="20"/>
          <w:szCs w:val="20"/>
        </w:rPr>
        <w:t>Vertrag</w:t>
      </w:r>
      <w:proofErr w:type="gramEnd"/>
      <w:r w:rsidRPr="00623D41">
        <w:rPr>
          <w:rFonts w:ascii="Verdana" w:hAnsi="Verdana"/>
          <w:b/>
          <w:sz w:val="20"/>
          <w:szCs w:val="20"/>
        </w:rPr>
        <w:t xml:space="preserve"> über die Arbeitsweise der Europäischen Union</w:t>
      </w:r>
      <w:r w:rsidRPr="00623D41">
        <w:rPr>
          <w:rFonts w:ascii="Verdana" w:hAnsi="Verdana"/>
          <w:sz w:val="20"/>
          <w:szCs w:val="20"/>
        </w:rPr>
        <w:t xml:space="preserve"> (AEUV) und </w:t>
      </w:r>
      <w:r w:rsidRPr="00623D41">
        <w:rPr>
          <w:rFonts w:ascii="Verdana" w:hAnsi="Verdana"/>
          <w:b/>
          <w:sz w:val="20"/>
          <w:szCs w:val="20"/>
        </w:rPr>
        <w:t>Vertrag über die europäische Union</w:t>
      </w:r>
      <w:r w:rsidRPr="00623D41">
        <w:rPr>
          <w:rFonts w:ascii="Verdana" w:hAnsi="Verdana"/>
          <w:sz w:val="20"/>
          <w:szCs w:val="20"/>
        </w:rPr>
        <w:t xml:space="preserve"> (EUV) durchgesetzt.</w:t>
      </w:r>
    </w:p>
    <w:p w:rsidR="00623D41" w:rsidRPr="00623D41" w:rsidRDefault="00623D41" w:rsidP="00813F0A">
      <w:pPr>
        <w:rPr>
          <w:rFonts w:ascii="Verdana" w:hAnsi="Verdana"/>
          <w:sz w:val="20"/>
          <w:szCs w:val="20"/>
        </w:rPr>
      </w:pPr>
    </w:p>
    <w:p w:rsidR="00A7289D" w:rsidRPr="00623D41" w:rsidRDefault="00623D41" w:rsidP="00813F0A">
      <w:pPr>
        <w:rPr>
          <w:rFonts w:ascii="Verdana" w:hAnsi="Verdana"/>
          <w:sz w:val="20"/>
          <w:szCs w:val="20"/>
        </w:rPr>
      </w:pPr>
      <w:r w:rsidRPr="00623D41">
        <w:rPr>
          <w:rFonts w:ascii="Verdana" w:hAnsi="Verdana"/>
          <w:sz w:val="20"/>
          <w:szCs w:val="20"/>
        </w:rPr>
        <w:t xml:space="preserve">Reine </w:t>
      </w:r>
      <w:r w:rsidRPr="00623D41">
        <w:rPr>
          <w:rFonts w:ascii="Verdana" w:hAnsi="Verdana"/>
          <w:b/>
          <w:sz w:val="20"/>
          <w:szCs w:val="20"/>
        </w:rPr>
        <w:t>Clubgüter</w:t>
      </w:r>
      <w:r w:rsidRPr="00623D41">
        <w:rPr>
          <w:rFonts w:ascii="Verdana" w:hAnsi="Verdana"/>
          <w:sz w:val="20"/>
          <w:szCs w:val="20"/>
        </w:rPr>
        <w:t xml:space="preserve"> (Nicht-Rivalität, Ausschluss von Nicht-Mitgliedern) sind der Binnenmarkt mit seinen vier Grundfreiheiten, Mobilitäts- und Wettbewerbsfreiheit und allgemeine Diskriminierungsverbote, der EuGH, Schengen-Abkommen. Und die Teilhabe an den restlichen Politiken wie Agrar-, Struktur-, Umweltpolitik oder Währungsunion. Strukturfonds, europäische Industriesubvention und EWWU sind </w:t>
      </w:r>
      <w:r w:rsidRPr="00623D41">
        <w:rPr>
          <w:rFonts w:ascii="Verdana" w:hAnsi="Verdana"/>
          <w:b/>
          <w:i/>
          <w:sz w:val="20"/>
          <w:szCs w:val="20"/>
        </w:rPr>
        <w:t>unreine</w:t>
      </w:r>
      <w:r w:rsidRPr="00623D41">
        <w:rPr>
          <w:rFonts w:ascii="Verdana" w:hAnsi="Verdana"/>
          <w:b/>
          <w:sz w:val="20"/>
          <w:szCs w:val="20"/>
        </w:rPr>
        <w:t xml:space="preserve"> Clubgüter</w:t>
      </w:r>
      <w:r w:rsidRPr="00623D41">
        <w:rPr>
          <w:rFonts w:ascii="Verdana" w:hAnsi="Verdana"/>
          <w:sz w:val="20"/>
          <w:szCs w:val="20"/>
        </w:rPr>
        <w:t xml:space="preserve"> (Rivalität, definiertes Ausschlussprinzip).</w:t>
      </w:r>
    </w:p>
    <w:p w:rsidR="00623D41" w:rsidRPr="00623D41" w:rsidRDefault="00623D41" w:rsidP="00813F0A">
      <w:pPr>
        <w:rPr>
          <w:rFonts w:ascii="Verdana" w:hAnsi="Verdana"/>
          <w:sz w:val="20"/>
          <w:szCs w:val="20"/>
        </w:rPr>
      </w:pPr>
    </w:p>
    <w:p w:rsidR="00623D41" w:rsidRPr="00623D41" w:rsidRDefault="00623D41" w:rsidP="00813F0A">
      <w:pPr>
        <w:rPr>
          <w:rFonts w:ascii="Verdana" w:hAnsi="Verdana"/>
          <w:sz w:val="20"/>
          <w:szCs w:val="20"/>
        </w:rPr>
      </w:pPr>
      <w:r w:rsidRPr="00623D41">
        <w:rPr>
          <w:rFonts w:ascii="Verdana" w:hAnsi="Verdana"/>
          <w:sz w:val="20"/>
          <w:szCs w:val="20"/>
        </w:rPr>
        <w:t>-</w:t>
      </w:r>
    </w:p>
    <w:p w:rsidR="00623D41" w:rsidRPr="00623D41" w:rsidRDefault="00623D41" w:rsidP="00813F0A">
      <w:pPr>
        <w:rPr>
          <w:rFonts w:ascii="Verdana" w:hAnsi="Verdana"/>
          <w:sz w:val="20"/>
          <w:szCs w:val="20"/>
        </w:rPr>
      </w:pPr>
    </w:p>
    <w:p w:rsidR="00623D41" w:rsidRPr="00623D41" w:rsidRDefault="00623D41" w:rsidP="00623D41">
      <w:pPr>
        <w:spacing w:line="360" w:lineRule="auto"/>
        <w:jc w:val="both"/>
        <w:rPr>
          <w:rFonts w:ascii="Verdana" w:hAnsi="Verdana"/>
          <w:sz w:val="20"/>
          <w:szCs w:val="20"/>
        </w:rPr>
      </w:pPr>
      <w:r w:rsidRPr="00623D41">
        <w:rPr>
          <w:rFonts w:ascii="Verdana" w:hAnsi="Verdana"/>
          <w:sz w:val="20"/>
          <w:szCs w:val="20"/>
        </w:rPr>
        <w:t xml:space="preserve">1. 4. </w:t>
      </w:r>
      <w:r w:rsidRPr="00822390">
        <w:rPr>
          <w:rFonts w:ascii="Verdana" w:hAnsi="Verdana"/>
          <w:b/>
          <w:sz w:val="20"/>
          <w:szCs w:val="20"/>
          <w:u w:val="single"/>
        </w:rPr>
        <w:t>Öffentliche Güter &amp; Wohlfahrt &amp; Termini</w:t>
      </w:r>
    </w:p>
    <w:p w:rsidR="00623D41" w:rsidRDefault="00623D41" w:rsidP="00813F0A">
      <w:pPr>
        <w:rPr>
          <w:rFonts w:ascii="Verdana" w:hAnsi="Verdana"/>
          <w:sz w:val="20"/>
          <w:szCs w:val="20"/>
        </w:rPr>
      </w:pPr>
      <w:r w:rsidRPr="00623D41">
        <w:rPr>
          <w:rFonts w:ascii="Verdana" w:hAnsi="Verdana"/>
          <w:sz w:val="20"/>
          <w:szCs w:val="20"/>
        </w:rPr>
        <w:t xml:space="preserve">Staaten haben in der Regel </w:t>
      </w:r>
      <w:r w:rsidRPr="00623D41">
        <w:rPr>
          <w:rFonts w:ascii="Verdana" w:hAnsi="Verdana"/>
          <w:b/>
          <w:sz w:val="20"/>
          <w:szCs w:val="20"/>
        </w:rPr>
        <w:t>drei wesentliche Aufgaben</w:t>
      </w:r>
      <w:r w:rsidRPr="00623D41">
        <w:rPr>
          <w:rFonts w:ascii="Verdana" w:hAnsi="Verdana"/>
          <w:sz w:val="20"/>
          <w:szCs w:val="20"/>
        </w:rPr>
        <w:t xml:space="preserve"> zu erfüllen: Allokation, Distribution, Stabilisie</w:t>
      </w:r>
      <w:r>
        <w:rPr>
          <w:rFonts w:ascii="Verdana" w:hAnsi="Verdana"/>
          <w:sz w:val="20"/>
          <w:szCs w:val="20"/>
        </w:rPr>
        <w:t>rung (</w:t>
      </w:r>
      <w:proofErr w:type="spellStart"/>
      <w:r>
        <w:rPr>
          <w:rFonts w:ascii="Verdana" w:hAnsi="Verdana"/>
          <w:sz w:val="20"/>
          <w:szCs w:val="20"/>
        </w:rPr>
        <w:t>Pätzhold</w:t>
      </w:r>
      <w:proofErr w:type="spellEnd"/>
      <w:r>
        <w:rPr>
          <w:rFonts w:ascii="Verdana" w:hAnsi="Verdana"/>
          <w:sz w:val="20"/>
          <w:szCs w:val="20"/>
        </w:rPr>
        <w:t xml:space="preserve"> 2012).</w:t>
      </w:r>
    </w:p>
    <w:p w:rsidR="00623D41" w:rsidRDefault="00623D41" w:rsidP="00813F0A">
      <w:pPr>
        <w:rPr>
          <w:rFonts w:ascii="Verdana" w:hAnsi="Verdana"/>
          <w:sz w:val="20"/>
          <w:szCs w:val="20"/>
        </w:rPr>
      </w:pPr>
    </w:p>
    <w:p w:rsidR="00623D41" w:rsidRDefault="00623D41" w:rsidP="00813F0A">
      <w:pPr>
        <w:rPr>
          <w:rFonts w:ascii="Verdana" w:hAnsi="Verdana"/>
          <w:sz w:val="20"/>
          <w:szCs w:val="20"/>
        </w:rPr>
      </w:pPr>
      <w:r w:rsidRPr="00623D41">
        <w:rPr>
          <w:rFonts w:ascii="Verdana" w:hAnsi="Verdana"/>
          <w:b/>
          <w:sz w:val="20"/>
          <w:szCs w:val="20"/>
        </w:rPr>
        <w:t>Allokationspolitik</w:t>
      </w:r>
      <w:r w:rsidRPr="00623D41">
        <w:rPr>
          <w:rFonts w:ascii="Verdana" w:hAnsi="Verdana"/>
          <w:sz w:val="20"/>
          <w:szCs w:val="20"/>
        </w:rPr>
        <w:t xml:space="preserve"> zielt auf eine möglichst verschwendungsarme Aufteilung von knappen Ressourcen, sprich: Sicherung marktwirtschaftlicher Effizienz</w:t>
      </w:r>
      <w:r>
        <w:rPr>
          <w:rFonts w:ascii="Verdana" w:hAnsi="Verdana"/>
          <w:sz w:val="20"/>
          <w:szCs w:val="20"/>
        </w:rPr>
        <w:t>,</w:t>
      </w:r>
      <w:r w:rsidRPr="00623D41">
        <w:rPr>
          <w:rFonts w:ascii="Verdana" w:hAnsi="Verdana"/>
          <w:sz w:val="20"/>
          <w:szCs w:val="20"/>
        </w:rPr>
        <w:t xml:space="preserve"> ab.</w:t>
      </w:r>
      <w:r w:rsidR="00C13F0B">
        <w:rPr>
          <w:rFonts w:ascii="Verdana" w:hAnsi="Verdana"/>
          <w:sz w:val="20"/>
          <w:szCs w:val="20"/>
        </w:rPr>
        <w:t xml:space="preserve"> </w:t>
      </w:r>
      <w:r w:rsidR="00C13F0B" w:rsidRPr="00C13F0B">
        <w:rPr>
          <w:rFonts w:ascii="Verdana" w:hAnsi="Verdana"/>
          <w:i/>
          <w:sz w:val="20"/>
          <w:szCs w:val="20"/>
        </w:rPr>
        <w:t>Allokation</w:t>
      </w:r>
      <w:r w:rsidR="00C13F0B" w:rsidRPr="00C13F0B">
        <w:rPr>
          <w:rFonts w:ascii="Verdana" w:hAnsi="Verdana"/>
          <w:sz w:val="20"/>
          <w:szCs w:val="20"/>
        </w:rPr>
        <w:t xml:space="preserve"> beschreibt die optimale Verteilung von knappen Ressourcen zur Erzeugung der Gütervielfalt mit dem höchsten Nutzen für alle Konsumenten und Produzenten einer Volkswirtschaft.</w:t>
      </w:r>
    </w:p>
    <w:p w:rsidR="00C13F0B" w:rsidRDefault="00C13F0B" w:rsidP="00813F0A">
      <w:pPr>
        <w:rPr>
          <w:rFonts w:ascii="Verdana" w:hAnsi="Verdana"/>
          <w:sz w:val="20"/>
          <w:szCs w:val="20"/>
        </w:rPr>
      </w:pPr>
    </w:p>
    <w:p w:rsidR="00C13F0B" w:rsidRPr="00C13F0B" w:rsidRDefault="00C13F0B" w:rsidP="00813F0A">
      <w:pPr>
        <w:rPr>
          <w:rFonts w:ascii="Verdana" w:hAnsi="Verdana"/>
          <w:sz w:val="20"/>
          <w:szCs w:val="20"/>
        </w:rPr>
      </w:pPr>
      <w:r w:rsidRPr="00C13F0B">
        <w:rPr>
          <w:rFonts w:ascii="Verdana" w:hAnsi="Verdana"/>
          <w:sz w:val="20"/>
          <w:szCs w:val="20"/>
        </w:rPr>
        <w:t xml:space="preserve">Eine effiziente Allokation ist zwar notwendig, aber nicht hinreichend für ein Wohlfahrtsoptimum: es braucht auch Sozial- und </w:t>
      </w:r>
      <w:r w:rsidRPr="00C13F0B">
        <w:rPr>
          <w:rFonts w:ascii="Verdana" w:hAnsi="Verdana"/>
          <w:b/>
          <w:sz w:val="20"/>
          <w:szCs w:val="20"/>
        </w:rPr>
        <w:t>Distributionspolitik</w:t>
      </w:r>
      <w:r w:rsidRPr="00C13F0B">
        <w:rPr>
          <w:rFonts w:ascii="Verdana" w:hAnsi="Verdana"/>
          <w:sz w:val="20"/>
          <w:szCs w:val="20"/>
        </w:rPr>
        <w:t xml:space="preserve"> (Verteilungspolitik). Ein Mehr an Distribution und sozialer Sicherheit muss in der Regel mit einem Weniger an allok</w:t>
      </w:r>
      <w:r w:rsidR="00BF2B5B">
        <w:rPr>
          <w:rFonts w:ascii="Verdana" w:hAnsi="Verdana"/>
          <w:sz w:val="20"/>
          <w:szCs w:val="20"/>
        </w:rPr>
        <w:t xml:space="preserve">ativer Effizienz erkauft werden (Zielkonflikt zwischen zwei Politiken: </w:t>
      </w:r>
      <w:r w:rsidR="00BF2B5B" w:rsidRPr="00BF2B5B">
        <w:rPr>
          <w:rFonts w:ascii="Verdana" w:hAnsi="Verdana"/>
          <w:b/>
          <w:sz w:val="20"/>
          <w:szCs w:val="20"/>
        </w:rPr>
        <w:t>trade-off</w:t>
      </w:r>
      <w:r w:rsidR="00BF2B5B">
        <w:rPr>
          <w:rFonts w:ascii="Verdana" w:hAnsi="Verdana"/>
          <w:sz w:val="20"/>
          <w:szCs w:val="20"/>
        </w:rPr>
        <w:t>).</w:t>
      </w:r>
    </w:p>
    <w:p w:rsidR="00C13F0B" w:rsidRPr="00C13F0B" w:rsidRDefault="00C13F0B" w:rsidP="00813F0A">
      <w:pPr>
        <w:rPr>
          <w:rFonts w:ascii="Verdana" w:hAnsi="Verdana"/>
          <w:sz w:val="20"/>
          <w:szCs w:val="20"/>
        </w:rPr>
      </w:pPr>
    </w:p>
    <w:p w:rsidR="00C13F0B" w:rsidRDefault="00C13F0B" w:rsidP="00813F0A">
      <w:pPr>
        <w:rPr>
          <w:rFonts w:ascii="Verdana" w:hAnsi="Verdana"/>
          <w:sz w:val="20"/>
          <w:szCs w:val="20"/>
        </w:rPr>
      </w:pPr>
      <w:r w:rsidRPr="00C13F0B">
        <w:rPr>
          <w:rFonts w:ascii="Verdana" w:hAnsi="Verdana"/>
          <w:sz w:val="20"/>
          <w:szCs w:val="20"/>
        </w:rPr>
        <w:t xml:space="preserve">Bei </w:t>
      </w:r>
      <w:r w:rsidRPr="00C13F0B">
        <w:rPr>
          <w:rFonts w:ascii="Verdana" w:hAnsi="Verdana"/>
          <w:b/>
          <w:sz w:val="20"/>
          <w:szCs w:val="20"/>
        </w:rPr>
        <w:t>„</w:t>
      </w:r>
      <w:proofErr w:type="spellStart"/>
      <w:r w:rsidRPr="00C13F0B">
        <w:rPr>
          <w:rFonts w:ascii="Verdana" w:hAnsi="Verdana"/>
          <w:b/>
          <w:sz w:val="20"/>
          <w:szCs w:val="20"/>
        </w:rPr>
        <w:t>keynsianischer</w:t>
      </w:r>
      <w:proofErr w:type="spellEnd"/>
      <w:r w:rsidRPr="00C13F0B">
        <w:rPr>
          <w:rFonts w:ascii="Verdana" w:hAnsi="Verdana"/>
          <w:b/>
          <w:sz w:val="20"/>
          <w:szCs w:val="20"/>
        </w:rPr>
        <w:t>“ Stabilisierungspolitik</w:t>
      </w:r>
      <w:r w:rsidRPr="00C13F0B">
        <w:rPr>
          <w:rFonts w:ascii="Verdana" w:hAnsi="Verdana"/>
          <w:sz w:val="20"/>
          <w:szCs w:val="20"/>
        </w:rPr>
        <w:t xml:space="preserve"> steht vor allem Stabilisierungspolitik (hoher Beschäftigungsstand, Sicherung der Nachfrage) und bei </w:t>
      </w:r>
      <w:r w:rsidRPr="00C13F0B">
        <w:rPr>
          <w:rFonts w:ascii="Verdana" w:hAnsi="Verdana"/>
          <w:b/>
          <w:sz w:val="20"/>
          <w:szCs w:val="20"/>
        </w:rPr>
        <w:t>„neoklassischer“ Stabilisierungspolitik</w:t>
      </w:r>
      <w:r w:rsidRPr="00C13F0B">
        <w:rPr>
          <w:rFonts w:ascii="Verdana" w:hAnsi="Verdana"/>
          <w:sz w:val="20"/>
          <w:szCs w:val="20"/>
        </w:rPr>
        <w:t xml:space="preserve"> die allokative Effizienz des Marktes im Vordergrund.</w:t>
      </w:r>
    </w:p>
    <w:p w:rsidR="00BF2B5B" w:rsidRDefault="00BF2B5B" w:rsidP="00813F0A">
      <w:pPr>
        <w:rPr>
          <w:rFonts w:ascii="Verdana" w:hAnsi="Verdana"/>
          <w:sz w:val="20"/>
          <w:szCs w:val="20"/>
        </w:rPr>
      </w:pPr>
    </w:p>
    <w:p w:rsidR="00BF2B5B" w:rsidRDefault="00BF2B5B" w:rsidP="00822390">
      <w:pPr>
        <w:pStyle w:val="KeinLeerraum"/>
        <w:rPr>
          <w:rFonts w:ascii="Verdana" w:hAnsi="Verdana"/>
          <w:sz w:val="20"/>
          <w:szCs w:val="20"/>
        </w:rPr>
      </w:pPr>
      <w:r w:rsidRPr="00822390">
        <w:rPr>
          <w:rFonts w:ascii="Verdana" w:hAnsi="Verdana"/>
          <w:sz w:val="20"/>
          <w:szCs w:val="20"/>
        </w:rPr>
        <w:t xml:space="preserve">Ziel der europäischen Wirtschaftspolitik gilt der Realisierung </w:t>
      </w:r>
      <w:r w:rsidRPr="00822390">
        <w:rPr>
          <w:rFonts w:ascii="Verdana" w:hAnsi="Verdana"/>
          <w:b/>
          <w:sz w:val="20"/>
          <w:szCs w:val="20"/>
        </w:rPr>
        <w:t>maximaler Allokationseffizienz</w:t>
      </w:r>
      <w:r w:rsidRPr="00822390">
        <w:rPr>
          <w:rFonts w:ascii="Verdana" w:hAnsi="Verdana"/>
          <w:sz w:val="20"/>
          <w:szCs w:val="20"/>
        </w:rPr>
        <w:t xml:space="preserve">. </w:t>
      </w:r>
      <w:r w:rsidRPr="00822390">
        <w:rPr>
          <w:rFonts w:ascii="Verdana" w:hAnsi="Verdana"/>
          <w:i/>
          <w:sz w:val="20"/>
          <w:szCs w:val="20"/>
        </w:rPr>
        <w:t>Allokative Effizienz</w:t>
      </w:r>
      <w:r w:rsidRPr="00822390">
        <w:rPr>
          <w:rFonts w:ascii="Verdana" w:hAnsi="Verdana"/>
          <w:sz w:val="20"/>
          <w:szCs w:val="20"/>
        </w:rPr>
        <w:t xml:space="preserve"> beschreibt eine Situation, in der der Grenznutzen der Nachfrager zugleich dem Grenznutzen der Produzenten entspricht. Die volkswirtschaftliche Rente als Resultat der Konsumenten- und Produzentenrente ist in diesem Zustand maximier</w:t>
      </w:r>
      <w:r w:rsidR="00822390">
        <w:rPr>
          <w:rFonts w:ascii="Verdana" w:hAnsi="Verdana"/>
          <w:sz w:val="20"/>
          <w:szCs w:val="20"/>
        </w:rPr>
        <w:t>t.</w:t>
      </w:r>
    </w:p>
    <w:p w:rsidR="002838BB" w:rsidRDefault="002838BB" w:rsidP="00822390">
      <w:pPr>
        <w:pStyle w:val="KeinLeerraum"/>
        <w:rPr>
          <w:rFonts w:ascii="Verdana" w:hAnsi="Verdana"/>
          <w:sz w:val="20"/>
          <w:szCs w:val="20"/>
        </w:rPr>
      </w:pPr>
    </w:p>
    <w:p w:rsidR="002838BB" w:rsidRPr="002838BB" w:rsidRDefault="002838BB" w:rsidP="00822390">
      <w:pPr>
        <w:pStyle w:val="KeinLeerraum"/>
        <w:rPr>
          <w:rFonts w:ascii="Verdana" w:hAnsi="Verdana"/>
          <w:sz w:val="20"/>
          <w:szCs w:val="20"/>
        </w:rPr>
      </w:pPr>
      <w:r w:rsidRPr="002838BB">
        <w:rPr>
          <w:rFonts w:ascii="Verdana" w:hAnsi="Verdana"/>
          <w:sz w:val="20"/>
          <w:szCs w:val="20"/>
        </w:rPr>
        <w:t xml:space="preserve">In der Ökonomie wird verteilungspolitisch zwischen Allokation und Distribution unterschieden. </w:t>
      </w:r>
      <w:r w:rsidRPr="002838BB">
        <w:rPr>
          <w:rFonts w:ascii="Verdana" w:hAnsi="Verdana"/>
          <w:b/>
          <w:sz w:val="20"/>
          <w:szCs w:val="20"/>
        </w:rPr>
        <w:t>Allokation</w:t>
      </w:r>
      <w:r w:rsidRPr="002838BB">
        <w:rPr>
          <w:rFonts w:ascii="Verdana" w:hAnsi="Verdana"/>
          <w:sz w:val="20"/>
          <w:szCs w:val="20"/>
        </w:rPr>
        <w:t xml:space="preserve"> zielt auf ökonomische, kostenoptimale Maßnahmen, auf Effizienz in der Marktwirtschaft, um Marktmechanismen gegen Beschränkungen zu schützen. Unter </w:t>
      </w:r>
      <w:r w:rsidRPr="002838BB">
        <w:rPr>
          <w:rFonts w:ascii="Verdana" w:hAnsi="Verdana"/>
          <w:b/>
          <w:sz w:val="20"/>
          <w:szCs w:val="20"/>
        </w:rPr>
        <w:t>Distribution</w:t>
      </w:r>
      <w:r w:rsidRPr="002838BB">
        <w:rPr>
          <w:rFonts w:ascii="Verdana" w:hAnsi="Verdana"/>
          <w:sz w:val="20"/>
          <w:szCs w:val="20"/>
        </w:rPr>
        <w:t xml:space="preserve"> wird eine Verteilung verstanden, die niemanden schadet, der Nutzen (Schule, Straße) also breit verteilt ist. Eine </w:t>
      </w:r>
      <w:r w:rsidRPr="002838BB">
        <w:rPr>
          <w:rFonts w:ascii="Verdana" w:hAnsi="Verdana"/>
          <w:b/>
          <w:sz w:val="20"/>
          <w:szCs w:val="20"/>
        </w:rPr>
        <w:t>Redistribution</w:t>
      </w:r>
      <w:r w:rsidRPr="002838BB">
        <w:rPr>
          <w:rFonts w:ascii="Verdana" w:hAnsi="Verdana"/>
          <w:sz w:val="20"/>
          <w:szCs w:val="20"/>
        </w:rPr>
        <w:t xml:space="preserve"> ist eine Umverteilung an speziell auserwählte Adressaten, wobei die Umverteilung praktisch von Reich zu Arm vollzogen wird. Bedürftige werden unterstützt</w:t>
      </w:r>
    </w:p>
    <w:p w:rsidR="00822390" w:rsidRDefault="00822390" w:rsidP="00822390">
      <w:pPr>
        <w:pStyle w:val="KeinLeerraum"/>
        <w:rPr>
          <w:rFonts w:ascii="Verdana" w:hAnsi="Verdana"/>
          <w:sz w:val="20"/>
          <w:szCs w:val="20"/>
        </w:rPr>
      </w:pPr>
    </w:p>
    <w:p w:rsidR="00822390" w:rsidRDefault="00822390" w:rsidP="00822390">
      <w:pPr>
        <w:pStyle w:val="KeinLeerraum"/>
        <w:rPr>
          <w:rFonts w:ascii="Verdana" w:hAnsi="Verdana"/>
          <w:sz w:val="20"/>
          <w:szCs w:val="20"/>
        </w:rPr>
      </w:pPr>
      <w:r w:rsidRPr="00822390">
        <w:rPr>
          <w:rFonts w:ascii="Verdana" w:hAnsi="Verdana"/>
          <w:b/>
          <w:sz w:val="20"/>
          <w:szCs w:val="20"/>
        </w:rPr>
        <w:t>Bruttoinlandsprodukt</w:t>
      </w:r>
      <w:r>
        <w:rPr>
          <w:rFonts w:ascii="Verdana" w:hAnsi="Verdana"/>
          <w:sz w:val="20"/>
          <w:szCs w:val="20"/>
        </w:rPr>
        <w:t>: die Wachstumsgröße, die aber nichts über Verteilung aussagt.</w:t>
      </w:r>
    </w:p>
    <w:p w:rsidR="00822390" w:rsidRDefault="00822390" w:rsidP="00822390">
      <w:pPr>
        <w:pStyle w:val="KeinLeerraum"/>
        <w:rPr>
          <w:rFonts w:ascii="Verdana" w:hAnsi="Verdana"/>
          <w:sz w:val="20"/>
          <w:szCs w:val="20"/>
        </w:rPr>
      </w:pPr>
    </w:p>
    <w:p w:rsidR="00822390" w:rsidRDefault="00822390" w:rsidP="00822390">
      <w:pPr>
        <w:pStyle w:val="KeinLeerraum"/>
        <w:rPr>
          <w:rFonts w:ascii="Verdana" w:hAnsi="Verdana"/>
          <w:sz w:val="20"/>
          <w:szCs w:val="20"/>
        </w:rPr>
      </w:pPr>
      <w:proofErr w:type="spellStart"/>
      <w:r w:rsidRPr="00822390">
        <w:rPr>
          <w:rFonts w:ascii="Verdana" w:hAnsi="Verdana"/>
          <w:b/>
          <w:sz w:val="20"/>
          <w:szCs w:val="20"/>
        </w:rPr>
        <w:t>Gini</w:t>
      </w:r>
      <w:proofErr w:type="spellEnd"/>
      <w:r w:rsidRPr="00822390">
        <w:rPr>
          <w:rFonts w:ascii="Verdana" w:hAnsi="Verdana"/>
          <w:b/>
          <w:sz w:val="20"/>
          <w:szCs w:val="20"/>
        </w:rPr>
        <w:t>-Koeffizient</w:t>
      </w:r>
      <w:r>
        <w:rPr>
          <w:rFonts w:ascii="Verdana" w:hAnsi="Verdana"/>
          <w:sz w:val="20"/>
          <w:szCs w:val="20"/>
        </w:rPr>
        <w:t>: Einkommensgleichheit, 0 = absolute Gleichheit, 1 = ein HH hat alles.</w:t>
      </w:r>
    </w:p>
    <w:p w:rsidR="00822390" w:rsidRDefault="00822390" w:rsidP="00822390">
      <w:pPr>
        <w:pStyle w:val="KeinLeerraum"/>
        <w:rPr>
          <w:rFonts w:ascii="Verdana" w:hAnsi="Verdana"/>
          <w:sz w:val="20"/>
          <w:szCs w:val="20"/>
        </w:rPr>
      </w:pPr>
    </w:p>
    <w:p w:rsidR="00822390" w:rsidRDefault="00822390" w:rsidP="00822390">
      <w:pPr>
        <w:pStyle w:val="KeinLeerraum"/>
        <w:rPr>
          <w:rFonts w:ascii="Verdana" w:hAnsi="Verdana"/>
          <w:sz w:val="20"/>
          <w:szCs w:val="20"/>
        </w:rPr>
      </w:pPr>
      <w:r w:rsidRPr="00822390">
        <w:rPr>
          <w:rFonts w:ascii="Verdana" w:hAnsi="Verdana"/>
          <w:b/>
          <w:sz w:val="20"/>
          <w:szCs w:val="20"/>
        </w:rPr>
        <w:lastRenderedPageBreak/>
        <w:t>Pareto-Kriterium</w:t>
      </w:r>
      <w:r>
        <w:rPr>
          <w:rFonts w:ascii="Verdana" w:hAnsi="Verdana"/>
          <w:sz w:val="20"/>
          <w:szCs w:val="20"/>
        </w:rPr>
        <w:t>: Kein Marktteilnehmer kann mehr bessergestellt werden, ohne dass dadurch ein anderer Marktteilnehmer schlechter gestellt werden würde.</w:t>
      </w:r>
    </w:p>
    <w:p w:rsidR="00822390" w:rsidRDefault="00822390" w:rsidP="00822390">
      <w:pPr>
        <w:pStyle w:val="KeinLeerraum"/>
        <w:rPr>
          <w:rFonts w:ascii="Verdana" w:hAnsi="Verdana"/>
          <w:sz w:val="20"/>
          <w:szCs w:val="20"/>
        </w:rPr>
      </w:pPr>
      <w:r>
        <w:rPr>
          <w:rFonts w:ascii="Verdana" w:hAnsi="Verdana"/>
          <w:sz w:val="20"/>
          <w:szCs w:val="20"/>
        </w:rPr>
        <w:t>-</w:t>
      </w:r>
    </w:p>
    <w:p w:rsidR="00822390" w:rsidRDefault="00822390" w:rsidP="00822390">
      <w:pPr>
        <w:pStyle w:val="KeinLeerraum"/>
        <w:rPr>
          <w:rFonts w:ascii="Verdana" w:hAnsi="Verdana"/>
          <w:sz w:val="20"/>
          <w:szCs w:val="20"/>
        </w:rPr>
      </w:pPr>
    </w:p>
    <w:p w:rsidR="00822390" w:rsidRDefault="00822390" w:rsidP="00822390">
      <w:pPr>
        <w:pStyle w:val="KeinLeerraum"/>
        <w:rPr>
          <w:rFonts w:ascii="Verdana" w:hAnsi="Verdana"/>
          <w:sz w:val="20"/>
          <w:szCs w:val="20"/>
        </w:rPr>
      </w:pPr>
      <w:r>
        <w:rPr>
          <w:rFonts w:ascii="Verdana" w:hAnsi="Verdana"/>
          <w:sz w:val="20"/>
          <w:szCs w:val="20"/>
        </w:rPr>
        <w:t xml:space="preserve">1.5. </w:t>
      </w:r>
      <w:r w:rsidRPr="00822390">
        <w:rPr>
          <w:rFonts w:ascii="Verdana" w:hAnsi="Verdana"/>
          <w:b/>
          <w:sz w:val="20"/>
          <w:szCs w:val="20"/>
          <w:u w:val="single"/>
        </w:rPr>
        <w:t>Knappe Güter</w:t>
      </w:r>
    </w:p>
    <w:p w:rsidR="00C13F0B" w:rsidRDefault="00C13F0B" w:rsidP="00813F0A">
      <w:pPr>
        <w:rPr>
          <w:rFonts w:ascii="Verdana" w:hAnsi="Verdana"/>
          <w:sz w:val="20"/>
          <w:szCs w:val="20"/>
        </w:rPr>
      </w:pPr>
    </w:p>
    <w:p w:rsidR="00822390" w:rsidRDefault="002838BB" w:rsidP="00813F0A">
      <w:pPr>
        <w:rPr>
          <w:rFonts w:ascii="Verdana" w:hAnsi="Verdana"/>
          <w:sz w:val="20"/>
          <w:szCs w:val="20"/>
        </w:rPr>
      </w:pPr>
      <w:r>
        <w:rPr>
          <w:rFonts w:ascii="Verdana" w:hAnsi="Verdana"/>
          <w:sz w:val="20"/>
          <w:szCs w:val="20"/>
        </w:rPr>
        <w:t xml:space="preserve">Alle </w:t>
      </w:r>
      <w:r w:rsidR="00822390" w:rsidRPr="002838BB">
        <w:rPr>
          <w:rFonts w:ascii="Verdana" w:hAnsi="Verdana"/>
          <w:sz w:val="20"/>
          <w:szCs w:val="20"/>
        </w:rPr>
        <w:t xml:space="preserve">Wirtschaftsgüter sind </w:t>
      </w:r>
      <w:r w:rsidR="00822390" w:rsidRPr="002838BB">
        <w:rPr>
          <w:rFonts w:ascii="Verdana" w:hAnsi="Verdana"/>
          <w:b/>
          <w:sz w:val="20"/>
          <w:szCs w:val="20"/>
        </w:rPr>
        <w:t>knapp</w:t>
      </w:r>
      <w:r w:rsidRPr="002838BB">
        <w:rPr>
          <w:rFonts w:ascii="Verdana" w:hAnsi="Verdana"/>
          <w:b/>
          <w:sz w:val="20"/>
          <w:szCs w:val="20"/>
        </w:rPr>
        <w:t xml:space="preserve">e </w:t>
      </w:r>
      <w:proofErr w:type="spellStart"/>
      <w:r w:rsidRPr="002838BB">
        <w:rPr>
          <w:rFonts w:ascii="Verdana" w:hAnsi="Verdana"/>
          <w:b/>
          <w:sz w:val="20"/>
          <w:szCs w:val="20"/>
        </w:rPr>
        <w:t>Gütter</w:t>
      </w:r>
      <w:proofErr w:type="spellEnd"/>
      <w:r w:rsidR="00822390" w:rsidRPr="002838BB">
        <w:rPr>
          <w:rFonts w:ascii="Verdana" w:hAnsi="Verdana"/>
          <w:sz w:val="20"/>
          <w:szCs w:val="20"/>
        </w:rPr>
        <w:t>, deshalb ist es nicht möglich, sämtliche Bedürfnisse wie optimale Effizienz und optimale Distribution vollständig zu befriedigen.</w:t>
      </w:r>
    </w:p>
    <w:p w:rsidR="002838BB" w:rsidRDefault="002838BB" w:rsidP="00813F0A">
      <w:pPr>
        <w:rPr>
          <w:rFonts w:ascii="Verdana" w:hAnsi="Verdana"/>
          <w:sz w:val="20"/>
          <w:szCs w:val="20"/>
        </w:rPr>
      </w:pPr>
    </w:p>
    <w:p w:rsidR="002838BB" w:rsidRDefault="002838BB" w:rsidP="00813F0A">
      <w:pPr>
        <w:rPr>
          <w:rFonts w:ascii="Verdana" w:hAnsi="Verdana"/>
          <w:sz w:val="20"/>
          <w:szCs w:val="20"/>
        </w:rPr>
      </w:pPr>
      <w:r w:rsidRPr="002838BB">
        <w:rPr>
          <w:rFonts w:ascii="Verdana" w:hAnsi="Verdana"/>
          <w:b/>
          <w:sz w:val="20"/>
          <w:szCs w:val="20"/>
        </w:rPr>
        <w:t>Private Güter</w:t>
      </w:r>
      <w:r>
        <w:rPr>
          <w:rFonts w:ascii="Verdana" w:hAnsi="Verdana"/>
          <w:sz w:val="20"/>
          <w:szCs w:val="20"/>
        </w:rPr>
        <w:t xml:space="preserve">: </w:t>
      </w:r>
      <w:proofErr w:type="spellStart"/>
      <w:r>
        <w:rPr>
          <w:rFonts w:ascii="Verdana" w:hAnsi="Verdana"/>
          <w:sz w:val="20"/>
          <w:szCs w:val="20"/>
        </w:rPr>
        <w:t>rival</w:t>
      </w:r>
      <w:proofErr w:type="spellEnd"/>
      <w:r>
        <w:rPr>
          <w:rFonts w:ascii="Verdana" w:hAnsi="Verdana"/>
          <w:sz w:val="20"/>
          <w:szCs w:val="20"/>
        </w:rPr>
        <w:t xml:space="preserve"> und ausschließbar. Zum Beispiel Kopfhörer.</w:t>
      </w:r>
    </w:p>
    <w:p w:rsidR="002838BB" w:rsidRDefault="002838BB" w:rsidP="00813F0A">
      <w:pPr>
        <w:rPr>
          <w:rFonts w:ascii="Verdana" w:hAnsi="Verdana"/>
          <w:sz w:val="20"/>
          <w:szCs w:val="20"/>
        </w:rPr>
      </w:pPr>
    </w:p>
    <w:p w:rsidR="002838BB" w:rsidRDefault="002838BB" w:rsidP="00813F0A">
      <w:pPr>
        <w:rPr>
          <w:rFonts w:ascii="Verdana" w:hAnsi="Verdana"/>
          <w:sz w:val="20"/>
          <w:szCs w:val="20"/>
        </w:rPr>
      </w:pPr>
      <w:r w:rsidRPr="002838BB">
        <w:rPr>
          <w:rFonts w:ascii="Verdana" w:hAnsi="Verdana"/>
          <w:b/>
          <w:sz w:val="20"/>
          <w:szCs w:val="20"/>
        </w:rPr>
        <w:t>Meritorische Güter</w:t>
      </w:r>
      <w:r>
        <w:rPr>
          <w:rFonts w:ascii="Verdana" w:hAnsi="Verdana"/>
          <w:sz w:val="20"/>
          <w:szCs w:val="20"/>
        </w:rPr>
        <w:t xml:space="preserve">: private Nachfrage bleibt hinter gewünschtem </w:t>
      </w:r>
      <w:proofErr w:type="spellStart"/>
      <w:r>
        <w:rPr>
          <w:rFonts w:ascii="Verdana" w:hAnsi="Verdana"/>
          <w:sz w:val="20"/>
          <w:szCs w:val="20"/>
        </w:rPr>
        <w:t>Außmaß</w:t>
      </w:r>
      <w:proofErr w:type="spellEnd"/>
      <w:r>
        <w:rPr>
          <w:rFonts w:ascii="Verdana" w:hAnsi="Verdana"/>
          <w:sz w:val="20"/>
          <w:szCs w:val="20"/>
        </w:rPr>
        <w:t xml:space="preserve"> zurück, z.B. Altersvorsorge. </w:t>
      </w:r>
      <w:proofErr w:type="spellStart"/>
      <w:r w:rsidRPr="002838BB">
        <w:rPr>
          <w:rFonts w:ascii="Verdana" w:hAnsi="Verdana"/>
          <w:b/>
          <w:sz w:val="20"/>
          <w:szCs w:val="20"/>
        </w:rPr>
        <w:t>Demeritorisches</w:t>
      </w:r>
      <w:proofErr w:type="spellEnd"/>
      <w:r w:rsidRPr="002838BB">
        <w:rPr>
          <w:rFonts w:ascii="Verdana" w:hAnsi="Verdana"/>
          <w:b/>
          <w:sz w:val="20"/>
          <w:szCs w:val="20"/>
        </w:rPr>
        <w:t xml:space="preserve"> Gut</w:t>
      </w:r>
      <w:r>
        <w:rPr>
          <w:rFonts w:ascii="Verdana" w:hAnsi="Verdana"/>
          <w:sz w:val="20"/>
          <w:szCs w:val="20"/>
        </w:rPr>
        <w:t>: Konsum ist nicht wünschenswert, z.B. Tabak.</w:t>
      </w:r>
    </w:p>
    <w:p w:rsidR="002838BB" w:rsidRDefault="002838BB" w:rsidP="00813F0A">
      <w:pPr>
        <w:rPr>
          <w:rFonts w:ascii="Verdana" w:hAnsi="Verdana"/>
          <w:sz w:val="20"/>
          <w:szCs w:val="20"/>
        </w:rPr>
      </w:pPr>
    </w:p>
    <w:p w:rsidR="002838BB" w:rsidRDefault="002838BB" w:rsidP="00813F0A">
      <w:pPr>
        <w:rPr>
          <w:rFonts w:ascii="Verdana" w:hAnsi="Verdana"/>
          <w:sz w:val="20"/>
          <w:szCs w:val="20"/>
        </w:rPr>
      </w:pPr>
      <w:r>
        <w:rPr>
          <w:rFonts w:ascii="Verdana" w:hAnsi="Verdana"/>
          <w:sz w:val="20"/>
          <w:szCs w:val="20"/>
        </w:rPr>
        <w:t>-</w:t>
      </w:r>
    </w:p>
    <w:p w:rsidR="002838BB" w:rsidRDefault="002838BB" w:rsidP="00813F0A">
      <w:pPr>
        <w:rPr>
          <w:rFonts w:ascii="Verdana" w:hAnsi="Verdana"/>
          <w:sz w:val="20"/>
          <w:szCs w:val="20"/>
        </w:rPr>
      </w:pPr>
    </w:p>
    <w:p w:rsidR="002838BB" w:rsidRDefault="002838BB" w:rsidP="00813F0A">
      <w:pPr>
        <w:rPr>
          <w:rFonts w:ascii="Verdana" w:hAnsi="Verdana"/>
          <w:sz w:val="20"/>
          <w:szCs w:val="20"/>
        </w:rPr>
      </w:pPr>
      <w:r>
        <w:rPr>
          <w:rFonts w:ascii="Verdana" w:hAnsi="Verdana"/>
          <w:sz w:val="20"/>
          <w:szCs w:val="20"/>
        </w:rPr>
        <w:t xml:space="preserve">1.6. </w:t>
      </w:r>
      <w:r w:rsidRPr="002838BB">
        <w:rPr>
          <w:rFonts w:ascii="Verdana" w:hAnsi="Verdana"/>
          <w:b/>
          <w:sz w:val="20"/>
          <w:szCs w:val="20"/>
          <w:u w:val="single"/>
        </w:rPr>
        <w:t>Ziele der europäischen Union</w:t>
      </w:r>
    </w:p>
    <w:p w:rsidR="002838BB" w:rsidRDefault="002838BB" w:rsidP="00813F0A">
      <w:pPr>
        <w:rPr>
          <w:rFonts w:ascii="Verdana" w:hAnsi="Verdana"/>
          <w:sz w:val="20"/>
          <w:szCs w:val="20"/>
        </w:rPr>
      </w:pPr>
    </w:p>
    <w:p w:rsidR="002838BB" w:rsidRDefault="00DF190C" w:rsidP="00813F0A">
      <w:pPr>
        <w:rPr>
          <w:rFonts w:ascii="Verdana" w:hAnsi="Verdana"/>
          <w:sz w:val="20"/>
          <w:szCs w:val="20"/>
        </w:rPr>
      </w:pPr>
      <w:r w:rsidRPr="00DF190C">
        <w:rPr>
          <w:rFonts w:ascii="Verdana" w:hAnsi="Verdana"/>
          <w:sz w:val="20"/>
          <w:szCs w:val="20"/>
        </w:rPr>
        <w:t xml:space="preserve">Bereits im EWG-Vertrag (1957) wird das grundlegende ökonomische Ziel deutlich: die Schaffung eines auf Effizienz fixierten Gemeinsamen Binnenmarktes. Damit steht potentiell ein </w:t>
      </w:r>
      <w:r w:rsidRPr="00DF190C">
        <w:rPr>
          <w:rFonts w:ascii="Verdana" w:hAnsi="Verdana"/>
          <w:b/>
          <w:sz w:val="20"/>
          <w:szCs w:val="20"/>
        </w:rPr>
        <w:t>ordnungspolitischer Konflikt</w:t>
      </w:r>
      <w:r w:rsidRPr="00DF190C">
        <w:rPr>
          <w:rFonts w:ascii="Verdana" w:hAnsi="Verdana"/>
          <w:sz w:val="20"/>
          <w:szCs w:val="20"/>
        </w:rPr>
        <w:t xml:space="preserve"> (trade-off) zwischen dem staatlichen und dem europäischen System an, nämlich zwischen </w:t>
      </w:r>
      <w:proofErr w:type="spellStart"/>
      <w:r w:rsidRPr="00DF190C">
        <w:rPr>
          <w:rFonts w:ascii="Verdana" w:hAnsi="Verdana"/>
          <w:sz w:val="20"/>
          <w:szCs w:val="20"/>
        </w:rPr>
        <w:t>interventionistischen</w:t>
      </w:r>
      <w:proofErr w:type="spellEnd"/>
      <w:r w:rsidRPr="00DF190C">
        <w:rPr>
          <w:rFonts w:ascii="Verdana" w:hAnsi="Verdana"/>
          <w:sz w:val="20"/>
          <w:szCs w:val="20"/>
        </w:rPr>
        <w:t xml:space="preserve"> Maßnahmen und der supranationalen Angebotspolitik.</w:t>
      </w:r>
    </w:p>
    <w:p w:rsidR="00DF190C" w:rsidRDefault="00DF190C" w:rsidP="00813F0A">
      <w:pPr>
        <w:rPr>
          <w:rFonts w:ascii="Verdana" w:hAnsi="Verdana"/>
          <w:sz w:val="20"/>
          <w:szCs w:val="20"/>
        </w:rPr>
      </w:pPr>
    </w:p>
    <w:p w:rsidR="00DF190C" w:rsidRDefault="00DF190C" w:rsidP="00813F0A">
      <w:pPr>
        <w:rPr>
          <w:sz w:val="22"/>
          <w:szCs w:val="22"/>
        </w:rPr>
      </w:pPr>
      <w:r w:rsidRPr="00B46167">
        <w:rPr>
          <w:sz w:val="22"/>
          <w:szCs w:val="22"/>
        </w:rPr>
        <w:t>Die EU folgt</w:t>
      </w:r>
      <w:r>
        <w:rPr>
          <w:sz w:val="22"/>
          <w:szCs w:val="22"/>
        </w:rPr>
        <w:t xml:space="preserve"> dem</w:t>
      </w:r>
      <w:r w:rsidRPr="00A61BCD">
        <w:rPr>
          <w:sz w:val="22"/>
          <w:szCs w:val="22"/>
        </w:rPr>
        <w:t xml:space="preserve"> </w:t>
      </w:r>
      <w:r>
        <w:rPr>
          <w:sz w:val="22"/>
          <w:szCs w:val="22"/>
        </w:rPr>
        <w:t xml:space="preserve">grundlegenden </w:t>
      </w:r>
      <w:r w:rsidRPr="00A61BCD">
        <w:rPr>
          <w:sz w:val="22"/>
          <w:szCs w:val="22"/>
        </w:rPr>
        <w:t xml:space="preserve">Ziel, </w:t>
      </w:r>
      <w:r w:rsidRPr="00DF190C">
        <w:rPr>
          <w:b/>
          <w:sz w:val="22"/>
          <w:szCs w:val="22"/>
        </w:rPr>
        <w:t>Transaktionskosten</w:t>
      </w:r>
      <w:r w:rsidRPr="00A61BCD">
        <w:rPr>
          <w:sz w:val="22"/>
          <w:szCs w:val="22"/>
        </w:rPr>
        <w:t xml:space="preserve"> </w:t>
      </w:r>
      <w:r>
        <w:rPr>
          <w:sz w:val="22"/>
          <w:szCs w:val="22"/>
        </w:rPr>
        <w:t xml:space="preserve">weitgehend </w:t>
      </w:r>
      <w:r w:rsidRPr="00A61BCD">
        <w:rPr>
          <w:sz w:val="22"/>
          <w:szCs w:val="22"/>
        </w:rPr>
        <w:t>abzubauen</w:t>
      </w:r>
      <w:r>
        <w:rPr>
          <w:sz w:val="22"/>
          <w:szCs w:val="22"/>
        </w:rPr>
        <w:t xml:space="preserve">, die beim Bestehen unterschiedlicher nationaler Regelungen bestehen. </w:t>
      </w:r>
      <w:r w:rsidRPr="00A61BCD">
        <w:rPr>
          <w:sz w:val="22"/>
          <w:szCs w:val="22"/>
        </w:rPr>
        <w:t>Transaktionskosten sind stets Kosten, die durch Nutzung des Marktes beim Bestehen unterschiedlicher nationaler Regel</w:t>
      </w:r>
      <w:r>
        <w:rPr>
          <w:sz w:val="22"/>
          <w:szCs w:val="22"/>
        </w:rPr>
        <w:t>ungen entstehen.</w:t>
      </w:r>
    </w:p>
    <w:p w:rsidR="00E813C9" w:rsidRDefault="00E813C9" w:rsidP="00813F0A">
      <w:pPr>
        <w:rPr>
          <w:sz w:val="22"/>
          <w:szCs w:val="22"/>
        </w:rPr>
      </w:pPr>
    </w:p>
    <w:p w:rsidR="00C13F0B" w:rsidRDefault="00E813C9" w:rsidP="00813F0A">
      <w:pPr>
        <w:rPr>
          <w:rFonts w:ascii="Verdana" w:hAnsi="Verdana"/>
          <w:sz w:val="20"/>
          <w:szCs w:val="20"/>
        </w:rPr>
      </w:pPr>
      <w:r w:rsidRPr="00C60FC8">
        <w:rPr>
          <w:rFonts w:ascii="Verdana" w:hAnsi="Verdana"/>
          <w:sz w:val="20"/>
          <w:szCs w:val="20"/>
        </w:rPr>
        <w:t xml:space="preserve">Größere Märkte überzeugen durch entsprechend größere Skaleneffekte oder </w:t>
      </w:r>
      <w:r w:rsidRPr="0051648B">
        <w:rPr>
          <w:rFonts w:ascii="Verdana" w:hAnsi="Verdana"/>
          <w:b/>
          <w:sz w:val="20"/>
          <w:szCs w:val="20"/>
        </w:rPr>
        <w:t>Skalenerträge</w:t>
      </w:r>
      <w:r w:rsidRPr="00C60FC8">
        <w:rPr>
          <w:rFonts w:ascii="Verdana" w:hAnsi="Verdana"/>
          <w:sz w:val="20"/>
          <w:szCs w:val="20"/>
        </w:rPr>
        <w:t xml:space="preserve">: </w:t>
      </w:r>
      <w:r w:rsidR="00C60FC8">
        <w:rPr>
          <w:rFonts w:ascii="Verdana" w:hAnsi="Verdana"/>
          <w:sz w:val="20"/>
          <w:szCs w:val="20"/>
        </w:rPr>
        <w:t>Die Produktionsmenge steigt stärker als die eingesetzten Faktoren.</w:t>
      </w:r>
    </w:p>
    <w:p w:rsidR="0051648B" w:rsidRDefault="0051648B" w:rsidP="00813F0A">
      <w:pPr>
        <w:rPr>
          <w:rFonts w:ascii="Verdana" w:hAnsi="Verdana"/>
          <w:sz w:val="20"/>
          <w:szCs w:val="20"/>
        </w:rPr>
      </w:pPr>
    </w:p>
    <w:p w:rsidR="0051648B" w:rsidRDefault="0051648B" w:rsidP="00813F0A">
      <w:pPr>
        <w:rPr>
          <w:rFonts w:ascii="Verdana" w:hAnsi="Verdana"/>
          <w:sz w:val="20"/>
          <w:szCs w:val="20"/>
        </w:rPr>
      </w:pPr>
      <w:r>
        <w:rPr>
          <w:rFonts w:ascii="Verdana" w:hAnsi="Verdana"/>
          <w:sz w:val="20"/>
          <w:szCs w:val="20"/>
        </w:rPr>
        <w:t xml:space="preserve">Die </w:t>
      </w:r>
      <w:r w:rsidRPr="0051648B">
        <w:rPr>
          <w:rFonts w:ascii="Verdana" w:hAnsi="Verdana"/>
          <w:b/>
          <w:sz w:val="20"/>
          <w:szCs w:val="20"/>
        </w:rPr>
        <w:t>Außenhandelstheorie</w:t>
      </w:r>
      <w:r>
        <w:rPr>
          <w:rFonts w:ascii="Verdana" w:hAnsi="Verdana"/>
          <w:sz w:val="20"/>
          <w:szCs w:val="20"/>
        </w:rPr>
        <w:t xml:space="preserve"> geht von vollständigem Wettbewerb aus, mittlerweile wird im Sinne vom „</w:t>
      </w:r>
      <w:r w:rsidRPr="0051648B">
        <w:rPr>
          <w:rFonts w:ascii="Verdana" w:hAnsi="Verdana"/>
          <w:b/>
          <w:sz w:val="20"/>
          <w:szCs w:val="20"/>
        </w:rPr>
        <w:t>funktionsfähigen Wettbewerb</w:t>
      </w:r>
      <w:r>
        <w:rPr>
          <w:rFonts w:ascii="Verdana" w:hAnsi="Verdana"/>
          <w:sz w:val="20"/>
          <w:szCs w:val="20"/>
        </w:rPr>
        <w:t>“ aber von einer realitätsnäheren politisch gewünschten Unvollkommenheit des Marktes ausgegangen.</w:t>
      </w:r>
    </w:p>
    <w:p w:rsidR="0051648B" w:rsidRDefault="0051648B" w:rsidP="00813F0A">
      <w:pPr>
        <w:rPr>
          <w:rFonts w:ascii="Verdana" w:hAnsi="Verdana"/>
          <w:sz w:val="20"/>
          <w:szCs w:val="20"/>
        </w:rPr>
      </w:pPr>
    </w:p>
    <w:p w:rsidR="0051648B" w:rsidRDefault="0051648B" w:rsidP="00813F0A">
      <w:pPr>
        <w:rPr>
          <w:rFonts w:ascii="Verdana" w:hAnsi="Verdana"/>
          <w:sz w:val="20"/>
          <w:szCs w:val="20"/>
        </w:rPr>
      </w:pPr>
      <w:r>
        <w:rPr>
          <w:rFonts w:ascii="Verdana" w:hAnsi="Verdana"/>
          <w:sz w:val="20"/>
          <w:szCs w:val="20"/>
        </w:rPr>
        <w:t>-</w:t>
      </w:r>
    </w:p>
    <w:p w:rsidR="0051648B" w:rsidRDefault="0051648B" w:rsidP="00813F0A">
      <w:pPr>
        <w:rPr>
          <w:rFonts w:ascii="Verdana" w:hAnsi="Verdana"/>
          <w:sz w:val="20"/>
          <w:szCs w:val="20"/>
        </w:rPr>
      </w:pPr>
    </w:p>
    <w:p w:rsidR="0051648B" w:rsidRPr="0051648B" w:rsidRDefault="0051648B" w:rsidP="00813F0A">
      <w:pPr>
        <w:rPr>
          <w:rFonts w:ascii="Verdana" w:hAnsi="Verdana"/>
          <w:b/>
          <w:sz w:val="20"/>
          <w:szCs w:val="20"/>
          <w:u w:val="single"/>
        </w:rPr>
      </w:pPr>
      <w:r>
        <w:rPr>
          <w:rFonts w:ascii="Verdana" w:hAnsi="Verdana"/>
          <w:sz w:val="20"/>
          <w:szCs w:val="20"/>
        </w:rPr>
        <w:t xml:space="preserve">1.7. </w:t>
      </w:r>
      <w:r w:rsidRPr="0051648B">
        <w:rPr>
          <w:rFonts w:ascii="Verdana" w:hAnsi="Verdana"/>
          <w:b/>
          <w:sz w:val="20"/>
          <w:szCs w:val="20"/>
          <w:u w:val="single"/>
        </w:rPr>
        <w:t>Markt versus Staat</w:t>
      </w:r>
    </w:p>
    <w:p w:rsidR="0051648B" w:rsidRDefault="0051648B" w:rsidP="00813F0A">
      <w:pPr>
        <w:rPr>
          <w:rFonts w:ascii="Verdana" w:hAnsi="Verdana"/>
          <w:sz w:val="20"/>
          <w:szCs w:val="20"/>
        </w:rPr>
      </w:pPr>
    </w:p>
    <w:p w:rsidR="0051648B" w:rsidRDefault="0051648B" w:rsidP="00813F0A">
      <w:pPr>
        <w:rPr>
          <w:rFonts w:ascii="Verdana" w:hAnsi="Verdana"/>
          <w:sz w:val="20"/>
          <w:szCs w:val="20"/>
        </w:rPr>
      </w:pPr>
      <w:r w:rsidRPr="0051648B">
        <w:rPr>
          <w:rFonts w:ascii="Verdana" w:hAnsi="Verdana"/>
          <w:b/>
          <w:sz w:val="20"/>
          <w:szCs w:val="20"/>
        </w:rPr>
        <w:t>Neoliberale Perspektive</w:t>
      </w:r>
      <w:r>
        <w:rPr>
          <w:rFonts w:ascii="Verdana" w:hAnsi="Verdana"/>
          <w:sz w:val="20"/>
          <w:szCs w:val="20"/>
        </w:rPr>
        <w:t>: Wirtschaftliches Wachstum und Freiheit sind die besten Garanten für die Verbesserung der sozialen Verhältnisse.</w:t>
      </w:r>
    </w:p>
    <w:p w:rsidR="0051648B" w:rsidRDefault="0051648B" w:rsidP="00813F0A">
      <w:pPr>
        <w:rPr>
          <w:rFonts w:ascii="Verdana" w:hAnsi="Verdana"/>
          <w:sz w:val="20"/>
          <w:szCs w:val="20"/>
        </w:rPr>
      </w:pPr>
    </w:p>
    <w:p w:rsidR="0051648B" w:rsidRDefault="0051648B" w:rsidP="00813F0A">
      <w:pPr>
        <w:rPr>
          <w:rFonts w:ascii="Verdana" w:hAnsi="Verdana"/>
          <w:sz w:val="20"/>
          <w:szCs w:val="20"/>
        </w:rPr>
      </w:pPr>
      <w:r w:rsidRPr="0051648B">
        <w:rPr>
          <w:rFonts w:ascii="Verdana" w:hAnsi="Verdana"/>
          <w:b/>
          <w:sz w:val="20"/>
          <w:szCs w:val="20"/>
        </w:rPr>
        <w:t>Zentralistische Perspektive</w:t>
      </w:r>
      <w:r>
        <w:rPr>
          <w:rFonts w:ascii="Verdana" w:hAnsi="Verdana"/>
          <w:sz w:val="20"/>
          <w:szCs w:val="20"/>
        </w:rPr>
        <w:t>: geht vom Marktversagen aus und sieht eine Notwendigkeit zur Intervention.</w:t>
      </w:r>
    </w:p>
    <w:p w:rsidR="0051648B" w:rsidRDefault="0051648B" w:rsidP="00813F0A">
      <w:pPr>
        <w:rPr>
          <w:rFonts w:ascii="Verdana" w:hAnsi="Verdana"/>
          <w:sz w:val="20"/>
          <w:szCs w:val="20"/>
        </w:rPr>
      </w:pPr>
    </w:p>
    <w:p w:rsidR="0051648B" w:rsidRDefault="0051648B" w:rsidP="00813F0A">
      <w:pPr>
        <w:rPr>
          <w:rFonts w:ascii="Verdana" w:hAnsi="Verdana"/>
          <w:sz w:val="20"/>
          <w:szCs w:val="20"/>
        </w:rPr>
      </w:pPr>
      <w:r>
        <w:rPr>
          <w:rFonts w:ascii="Verdana" w:hAnsi="Verdana"/>
          <w:sz w:val="20"/>
          <w:szCs w:val="20"/>
        </w:rPr>
        <w:t>-</w:t>
      </w:r>
    </w:p>
    <w:p w:rsidR="0051648B" w:rsidRDefault="0051648B" w:rsidP="00813F0A">
      <w:pPr>
        <w:rPr>
          <w:rFonts w:ascii="Verdana" w:hAnsi="Verdana"/>
          <w:sz w:val="20"/>
          <w:szCs w:val="20"/>
        </w:rPr>
      </w:pPr>
    </w:p>
    <w:p w:rsidR="0051648B" w:rsidRPr="0051648B" w:rsidRDefault="0051648B" w:rsidP="00813F0A">
      <w:pPr>
        <w:rPr>
          <w:rFonts w:ascii="Verdana" w:hAnsi="Verdana"/>
          <w:b/>
          <w:sz w:val="20"/>
          <w:szCs w:val="20"/>
          <w:u w:val="single"/>
        </w:rPr>
      </w:pPr>
      <w:r>
        <w:rPr>
          <w:rFonts w:ascii="Verdana" w:hAnsi="Verdana"/>
          <w:sz w:val="20"/>
          <w:szCs w:val="20"/>
        </w:rPr>
        <w:t>1.8.</w:t>
      </w:r>
      <w:r w:rsidR="00220904">
        <w:rPr>
          <w:rFonts w:ascii="Verdana" w:hAnsi="Verdana"/>
          <w:sz w:val="20"/>
          <w:szCs w:val="20"/>
        </w:rPr>
        <w:t xml:space="preserve"> </w:t>
      </w:r>
      <w:r w:rsidRPr="0051648B">
        <w:rPr>
          <w:rFonts w:ascii="Verdana" w:hAnsi="Verdana"/>
          <w:b/>
          <w:sz w:val="20"/>
          <w:szCs w:val="20"/>
          <w:u w:val="single"/>
        </w:rPr>
        <w:t>Nationale Institutionen &amp; Begriffe zur Sozialpolitik</w:t>
      </w:r>
    </w:p>
    <w:p w:rsidR="0051648B" w:rsidRDefault="0051648B" w:rsidP="00813F0A">
      <w:pPr>
        <w:rPr>
          <w:rFonts w:ascii="Verdana" w:hAnsi="Verdana"/>
          <w:sz w:val="20"/>
          <w:szCs w:val="20"/>
        </w:rPr>
      </w:pPr>
    </w:p>
    <w:p w:rsidR="0051648B" w:rsidRDefault="0051648B" w:rsidP="00813F0A">
      <w:pPr>
        <w:rPr>
          <w:rFonts w:ascii="Verdana" w:hAnsi="Verdana"/>
          <w:sz w:val="20"/>
          <w:szCs w:val="20"/>
        </w:rPr>
      </w:pPr>
      <w:r>
        <w:rPr>
          <w:rFonts w:ascii="Verdana" w:hAnsi="Verdana"/>
          <w:sz w:val="20"/>
          <w:szCs w:val="20"/>
        </w:rPr>
        <w:t xml:space="preserve">Instrumente zur Beeinflussung der </w:t>
      </w:r>
      <w:r w:rsidRPr="0051648B">
        <w:rPr>
          <w:rFonts w:ascii="Verdana" w:hAnsi="Verdana"/>
          <w:b/>
          <w:sz w:val="20"/>
          <w:szCs w:val="20"/>
        </w:rPr>
        <w:t>Primärverteilung</w:t>
      </w:r>
      <w:r>
        <w:rPr>
          <w:rFonts w:ascii="Verdana" w:hAnsi="Verdana"/>
          <w:sz w:val="20"/>
          <w:szCs w:val="20"/>
        </w:rPr>
        <w:t>: Gewerkschaften, Tarifverträge.</w:t>
      </w:r>
      <w:r>
        <w:rPr>
          <w:rFonts w:ascii="Verdana" w:hAnsi="Verdana"/>
          <w:sz w:val="20"/>
          <w:szCs w:val="20"/>
        </w:rPr>
        <w:br/>
        <w:t xml:space="preserve">Kritik: unflexibler Arbeitsmarkt. Deshalb Zunahme von Tariföffnungsklauseln, die </w:t>
      </w:r>
      <w:proofErr w:type="spellStart"/>
      <w:r>
        <w:rPr>
          <w:rFonts w:ascii="Verdana" w:hAnsi="Verdana"/>
          <w:sz w:val="20"/>
          <w:szCs w:val="20"/>
        </w:rPr>
        <w:t>untarifliche</w:t>
      </w:r>
      <w:proofErr w:type="spellEnd"/>
      <w:r>
        <w:rPr>
          <w:rFonts w:ascii="Verdana" w:hAnsi="Verdana"/>
          <w:sz w:val="20"/>
          <w:szCs w:val="20"/>
        </w:rPr>
        <w:t xml:space="preserve"> Lohngestaltung ermöglicht. Dagegen: Mindestlöhne (erheben Arbeitslosigkeit).</w:t>
      </w:r>
    </w:p>
    <w:p w:rsidR="0051648B" w:rsidRDefault="0051648B" w:rsidP="00813F0A">
      <w:pPr>
        <w:rPr>
          <w:rFonts w:ascii="Verdana" w:hAnsi="Verdana"/>
          <w:sz w:val="20"/>
          <w:szCs w:val="20"/>
        </w:rPr>
      </w:pPr>
    </w:p>
    <w:p w:rsidR="0051648B" w:rsidRPr="00887093" w:rsidRDefault="002245BD" w:rsidP="00813F0A">
      <w:pPr>
        <w:rPr>
          <w:rFonts w:ascii="Verdana" w:hAnsi="Verdana"/>
          <w:sz w:val="20"/>
          <w:szCs w:val="20"/>
        </w:rPr>
      </w:pPr>
      <w:r w:rsidRPr="002245BD">
        <w:rPr>
          <w:rFonts w:ascii="Verdana" w:hAnsi="Verdana"/>
          <w:b/>
          <w:sz w:val="20"/>
          <w:szCs w:val="20"/>
        </w:rPr>
        <w:t>Sekundärverteilung</w:t>
      </w:r>
      <w:r>
        <w:rPr>
          <w:rFonts w:ascii="Verdana" w:hAnsi="Verdana"/>
          <w:sz w:val="20"/>
          <w:szCs w:val="20"/>
        </w:rPr>
        <w:t xml:space="preserve">: </w:t>
      </w:r>
      <w:r>
        <w:rPr>
          <w:sz w:val="22"/>
          <w:szCs w:val="22"/>
        </w:rPr>
        <w:t xml:space="preserve">(In-)direkte Steuern, Systeme der sozialen Sicherung (Koch 2011, 713f), </w:t>
      </w:r>
      <w:r w:rsidRPr="00887093">
        <w:rPr>
          <w:rFonts w:ascii="Verdana" w:hAnsi="Verdana"/>
          <w:sz w:val="20"/>
          <w:szCs w:val="20"/>
        </w:rPr>
        <w:t>Realtransfers (Bereitstellung öffentlicher Güter wie Sozialhilfe, Wohngeld, Kindergeld.</w:t>
      </w:r>
    </w:p>
    <w:p w:rsidR="002245BD" w:rsidRPr="00887093" w:rsidRDefault="002245BD" w:rsidP="00813F0A">
      <w:pPr>
        <w:rPr>
          <w:rFonts w:ascii="Verdana" w:hAnsi="Verdana"/>
          <w:sz w:val="20"/>
          <w:szCs w:val="20"/>
        </w:rPr>
      </w:pPr>
    </w:p>
    <w:p w:rsidR="0051648B" w:rsidRPr="00887093" w:rsidRDefault="002245BD" w:rsidP="00813F0A">
      <w:pPr>
        <w:rPr>
          <w:rFonts w:ascii="Verdana" w:hAnsi="Verdana"/>
          <w:sz w:val="20"/>
          <w:szCs w:val="20"/>
        </w:rPr>
      </w:pPr>
      <w:r w:rsidRPr="00887093">
        <w:rPr>
          <w:rFonts w:ascii="Verdana" w:hAnsi="Verdana"/>
          <w:b/>
          <w:sz w:val="20"/>
          <w:szCs w:val="20"/>
        </w:rPr>
        <w:lastRenderedPageBreak/>
        <w:t>Dumping</w:t>
      </w:r>
      <w:r w:rsidRPr="00887093">
        <w:rPr>
          <w:rFonts w:ascii="Verdana" w:hAnsi="Verdana"/>
          <w:sz w:val="20"/>
          <w:szCs w:val="20"/>
        </w:rPr>
        <w:t xml:space="preserve">: </w:t>
      </w:r>
      <w:r w:rsidRPr="00887093">
        <w:rPr>
          <w:rFonts w:ascii="Verdana" w:hAnsi="Verdana"/>
          <w:i/>
          <w:sz w:val="20"/>
          <w:szCs w:val="20"/>
        </w:rPr>
        <w:t>Güter</w:t>
      </w:r>
      <w:r w:rsidRPr="00887093">
        <w:rPr>
          <w:rFonts w:ascii="Verdana" w:hAnsi="Verdana"/>
          <w:sz w:val="20"/>
          <w:szCs w:val="20"/>
        </w:rPr>
        <w:t xml:space="preserve"> oder </w:t>
      </w:r>
      <w:r w:rsidRPr="00887093">
        <w:rPr>
          <w:rFonts w:ascii="Verdana" w:hAnsi="Verdana"/>
          <w:i/>
          <w:sz w:val="20"/>
          <w:szCs w:val="20"/>
        </w:rPr>
        <w:t>Leistungen</w:t>
      </w:r>
      <w:r w:rsidRPr="00887093">
        <w:rPr>
          <w:rFonts w:ascii="Verdana" w:hAnsi="Verdana"/>
          <w:sz w:val="20"/>
          <w:szCs w:val="20"/>
        </w:rPr>
        <w:t xml:space="preserve"> unter Produktionskosten bzw. angeboten.</w:t>
      </w:r>
      <w:r w:rsidRPr="00887093">
        <w:rPr>
          <w:rFonts w:ascii="Verdana" w:hAnsi="Verdana"/>
          <w:sz w:val="20"/>
          <w:szCs w:val="20"/>
        </w:rPr>
        <w:br/>
      </w:r>
      <w:r w:rsidRPr="00887093">
        <w:rPr>
          <w:rFonts w:ascii="Verdana" w:hAnsi="Verdana"/>
          <w:b/>
          <w:sz w:val="20"/>
          <w:szCs w:val="20"/>
        </w:rPr>
        <w:t>Sozialdumping</w:t>
      </w:r>
      <w:r w:rsidRPr="00887093">
        <w:rPr>
          <w:rFonts w:ascii="Verdana" w:hAnsi="Verdana"/>
          <w:sz w:val="20"/>
          <w:szCs w:val="20"/>
        </w:rPr>
        <w:t xml:space="preserve"> unter Nationen: unwahrscheinlich, kann fehlende Wettbewerbsfähigkeit nicht kompensieren.</w:t>
      </w:r>
      <w:r w:rsidRPr="00887093">
        <w:rPr>
          <w:rFonts w:ascii="Verdana" w:hAnsi="Verdana"/>
          <w:sz w:val="20"/>
          <w:szCs w:val="20"/>
        </w:rPr>
        <w:br/>
      </w:r>
      <w:r w:rsidRPr="00887093">
        <w:rPr>
          <w:rFonts w:ascii="Verdana" w:hAnsi="Verdana"/>
          <w:b/>
          <w:sz w:val="20"/>
          <w:szCs w:val="20"/>
        </w:rPr>
        <w:t>Lohndumping</w:t>
      </w:r>
      <w:r w:rsidRPr="00887093">
        <w:rPr>
          <w:rFonts w:ascii="Verdana" w:hAnsi="Verdana"/>
          <w:sz w:val="20"/>
          <w:szCs w:val="20"/>
        </w:rPr>
        <w:t>: Einhaltung der tariflichen oder gesetzlichen Lohnuntergrenze wird nicht gewährleistet.</w:t>
      </w:r>
      <w:r w:rsidRPr="00887093">
        <w:rPr>
          <w:rFonts w:ascii="Verdana" w:hAnsi="Verdana"/>
          <w:sz w:val="20"/>
          <w:szCs w:val="20"/>
        </w:rPr>
        <w:br/>
      </w:r>
      <w:r w:rsidRPr="00887093">
        <w:rPr>
          <w:rFonts w:ascii="Verdana" w:hAnsi="Verdana"/>
          <w:b/>
          <w:sz w:val="20"/>
          <w:szCs w:val="20"/>
        </w:rPr>
        <w:t>Gewerkschaften</w:t>
      </w:r>
      <w:r w:rsidRPr="00887093">
        <w:rPr>
          <w:rFonts w:ascii="Verdana" w:hAnsi="Verdana"/>
          <w:sz w:val="20"/>
          <w:szCs w:val="20"/>
        </w:rPr>
        <w:t>: Lohndumping als unfairer Wettbewerb und „Flucht aus dem nationalen Arbeitsrecht“.</w:t>
      </w:r>
    </w:p>
    <w:p w:rsidR="00220904" w:rsidRPr="00887093" w:rsidRDefault="00220904" w:rsidP="00813F0A">
      <w:pPr>
        <w:rPr>
          <w:rFonts w:ascii="Verdana" w:hAnsi="Verdana"/>
          <w:sz w:val="20"/>
          <w:szCs w:val="20"/>
        </w:rPr>
      </w:pPr>
    </w:p>
    <w:p w:rsidR="00220904" w:rsidRPr="00887093" w:rsidRDefault="00220904" w:rsidP="00813F0A">
      <w:pPr>
        <w:rPr>
          <w:rFonts w:ascii="Verdana" w:hAnsi="Verdana"/>
          <w:sz w:val="20"/>
          <w:szCs w:val="20"/>
        </w:rPr>
      </w:pPr>
      <w:r w:rsidRPr="00887093">
        <w:rPr>
          <w:rFonts w:ascii="Verdana" w:hAnsi="Verdana"/>
          <w:sz w:val="20"/>
          <w:szCs w:val="20"/>
        </w:rPr>
        <w:t>-</w:t>
      </w:r>
    </w:p>
    <w:p w:rsidR="00220904" w:rsidRPr="00887093" w:rsidRDefault="00220904" w:rsidP="00813F0A">
      <w:pPr>
        <w:rPr>
          <w:rFonts w:ascii="Verdana" w:hAnsi="Verdana"/>
          <w:sz w:val="20"/>
          <w:szCs w:val="20"/>
        </w:rPr>
      </w:pPr>
    </w:p>
    <w:p w:rsidR="00220904" w:rsidRPr="00887093" w:rsidRDefault="00220904" w:rsidP="00813F0A">
      <w:pPr>
        <w:rPr>
          <w:rFonts w:ascii="Verdana" w:hAnsi="Verdana"/>
          <w:b/>
          <w:sz w:val="20"/>
          <w:szCs w:val="20"/>
          <w:u w:val="single"/>
        </w:rPr>
      </w:pPr>
      <w:r w:rsidRPr="00887093">
        <w:rPr>
          <w:rFonts w:ascii="Verdana" w:hAnsi="Verdana"/>
          <w:sz w:val="20"/>
          <w:szCs w:val="20"/>
        </w:rPr>
        <w:t xml:space="preserve">1.9. </w:t>
      </w:r>
      <w:r w:rsidRPr="00887093">
        <w:rPr>
          <w:rFonts w:ascii="Verdana" w:hAnsi="Verdana"/>
          <w:b/>
          <w:sz w:val="20"/>
          <w:szCs w:val="20"/>
          <w:u w:val="single"/>
        </w:rPr>
        <w:t>Heterogenität der Volkswirtschaften in EU am Beispiel Arbeitskosten</w:t>
      </w:r>
    </w:p>
    <w:p w:rsidR="00220904" w:rsidRPr="00887093" w:rsidRDefault="00220904" w:rsidP="00813F0A">
      <w:pPr>
        <w:rPr>
          <w:rFonts w:ascii="Verdana" w:hAnsi="Verdana"/>
          <w:sz w:val="20"/>
          <w:szCs w:val="20"/>
        </w:rPr>
      </w:pPr>
    </w:p>
    <w:p w:rsidR="00220904" w:rsidRPr="00887093" w:rsidRDefault="00220904" w:rsidP="00813F0A">
      <w:pPr>
        <w:rPr>
          <w:rFonts w:ascii="Verdana" w:hAnsi="Verdana"/>
          <w:sz w:val="20"/>
          <w:szCs w:val="20"/>
        </w:rPr>
      </w:pPr>
      <w:r w:rsidRPr="00887093">
        <w:rPr>
          <w:rFonts w:ascii="Verdana" w:hAnsi="Verdana"/>
          <w:b/>
          <w:sz w:val="20"/>
          <w:szCs w:val="20"/>
        </w:rPr>
        <w:t>Arbeitskosten</w:t>
      </w:r>
      <w:r w:rsidRPr="00887093">
        <w:rPr>
          <w:rFonts w:ascii="Verdana" w:hAnsi="Verdana"/>
          <w:sz w:val="20"/>
          <w:szCs w:val="20"/>
        </w:rPr>
        <w:t>: Aufwendungen und Kosten, die durch den Einsatz menschlicher Arbeitskraft im Betrieb entstehen (Löhne, Sozialkosten, Urlaubsgelt, etc.).</w:t>
      </w:r>
    </w:p>
    <w:p w:rsidR="00220904" w:rsidRPr="00887093" w:rsidRDefault="00220904" w:rsidP="00813F0A">
      <w:pPr>
        <w:rPr>
          <w:rFonts w:ascii="Verdana" w:hAnsi="Verdana"/>
          <w:sz w:val="20"/>
          <w:szCs w:val="20"/>
        </w:rPr>
      </w:pPr>
    </w:p>
    <w:p w:rsidR="00220904" w:rsidRPr="00887093" w:rsidRDefault="00220904" w:rsidP="00813F0A">
      <w:pPr>
        <w:rPr>
          <w:rFonts w:ascii="Verdana" w:hAnsi="Verdana"/>
          <w:sz w:val="20"/>
          <w:szCs w:val="20"/>
        </w:rPr>
      </w:pPr>
      <w:proofErr w:type="spellStart"/>
      <w:r w:rsidRPr="00887093">
        <w:rPr>
          <w:rFonts w:ascii="Verdana" w:hAnsi="Verdana"/>
          <w:b/>
          <w:sz w:val="20"/>
          <w:szCs w:val="20"/>
        </w:rPr>
        <w:t>Popitzsches</w:t>
      </w:r>
      <w:proofErr w:type="spellEnd"/>
      <w:r w:rsidRPr="00887093">
        <w:rPr>
          <w:rFonts w:ascii="Verdana" w:hAnsi="Verdana"/>
          <w:b/>
          <w:sz w:val="20"/>
          <w:szCs w:val="20"/>
        </w:rPr>
        <w:t xml:space="preserve"> Gesetz</w:t>
      </w:r>
      <w:r w:rsidRPr="00887093">
        <w:rPr>
          <w:rFonts w:ascii="Verdana" w:hAnsi="Verdana"/>
          <w:sz w:val="20"/>
          <w:szCs w:val="20"/>
        </w:rPr>
        <w:t>: Nur der Zentralstaat kann Gleichheit innerhalb einer Region herstellen.</w:t>
      </w:r>
    </w:p>
    <w:p w:rsidR="00220904" w:rsidRPr="00887093" w:rsidRDefault="00220904" w:rsidP="00813F0A">
      <w:pPr>
        <w:rPr>
          <w:rFonts w:ascii="Verdana" w:hAnsi="Verdana"/>
          <w:sz w:val="20"/>
          <w:szCs w:val="20"/>
        </w:rPr>
      </w:pPr>
    </w:p>
    <w:p w:rsidR="00220904" w:rsidRPr="00887093" w:rsidRDefault="00220904" w:rsidP="00813F0A">
      <w:pPr>
        <w:rPr>
          <w:rFonts w:ascii="Verdana" w:hAnsi="Verdana"/>
          <w:sz w:val="20"/>
          <w:szCs w:val="20"/>
        </w:rPr>
      </w:pPr>
      <w:r w:rsidRPr="00887093">
        <w:rPr>
          <w:rFonts w:ascii="Verdana" w:hAnsi="Verdana"/>
          <w:i/>
          <w:sz w:val="20"/>
          <w:szCs w:val="20"/>
        </w:rPr>
        <w:t>Freiburger Schule</w:t>
      </w:r>
      <w:r w:rsidRPr="00887093">
        <w:rPr>
          <w:rFonts w:ascii="Verdana" w:hAnsi="Verdana"/>
          <w:sz w:val="20"/>
          <w:szCs w:val="20"/>
        </w:rPr>
        <w:t xml:space="preserve"> (u.a. Walter Eucken, Franz Böhm): </w:t>
      </w:r>
      <w:r w:rsidR="00887093" w:rsidRPr="00887093">
        <w:rPr>
          <w:rFonts w:ascii="Verdana" w:hAnsi="Verdana"/>
          <w:sz w:val="20"/>
          <w:szCs w:val="20"/>
        </w:rPr>
        <w:t>in einem vom Staat geschaffenen Ordnungsrahmen soll der Wettbewerb und die Freiheit der Bürger auf dem Markt gewährleistet werden (</w:t>
      </w:r>
      <w:r w:rsidRPr="00887093">
        <w:rPr>
          <w:rFonts w:ascii="Verdana" w:hAnsi="Verdana"/>
          <w:sz w:val="20"/>
          <w:szCs w:val="20"/>
        </w:rPr>
        <w:t>Soziale M</w:t>
      </w:r>
      <w:r w:rsidR="00887093" w:rsidRPr="00887093">
        <w:rPr>
          <w:rFonts w:ascii="Verdana" w:hAnsi="Verdana"/>
          <w:sz w:val="20"/>
          <w:szCs w:val="20"/>
        </w:rPr>
        <w:t>arktwirtschaft).</w:t>
      </w:r>
    </w:p>
    <w:p w:rsidR="00887093" w:rsidRPr="00887093" w:rsidRDefault="00887093" w:rsidP="00813F0A">
      <w:pPr>
        <w:rPr>
          <w:rFonts w:ascii="Verdana" w:hAnsi="Verdana"/>
          <w:sz w:val="20"/>
          <w:szCs w:val="20"/>
        </w:rPr>
      </w:pPr>
    </w:p>
    <w:p w:rsidR="00887093" w:rsidRPr="00887093" w:rsidRDefault="00887093" w:rsidP="00813F0A">
      <w:pPr>
        <w:rPr>
          <w:rFonts w:ascii="Verdana" w:hAnsi="Verdana"/>
          <w:sz w:val="20"/>
          <w:szCs w:val="20"/>
        </w:rPr>
      </w:pPr>
      <w:r w:rsidRPr="00887093">
        <w:rPr>
          <w:rFonts w:ascii="Verdana" w:hAnsi="Verdana"/>
          <w:sz w:val="20"/>
          <w:szCs w:val="20"/>
        </w:rPr>
        <w:t>-</w:t>
      </w:r>
    </w:p>
    <w:p w:rsidR="00887093" w:rsidRPr="00887093" w:rsidRDefault="00887093" w:rsidP="00813F0A">
      <w:pPr>
        <w:rPr>
          <w:rFonts w:ascii="Verdana" w:hAnsi="Verdana"/>
          <w:sz w:val="20"/>
          <w:szCs w:val="20"/>
        </w:rPr>
      </w:pPr>
    </w:p>
    <w:p w:rsidR="00887093" w:rsidRPr="00887093" w:rsidRDefault="00887093" w:rsidP="00813F0A">
      <w:pPr>
        <w:rPr>
          <w:rFonts w:ascii="Verdana" w:hAnsi="Verdana"/>
          <w:sz w:val="20"/>
          <w:szCs w:val="20"/>
        </w:rPr>
      </w:pPr>
      <w:r w:rsidRPr="00887093">
        <w:rPr>
          <w:rFonts w:ascii="Verdana" w:hAnsi="Verdana"/>
          <w:sz w:val="20"/>
          <w:szCs w:val="20"/>
        </w:rPr>
        <w:t xml:space="preserve">1.10. </w:t>
      </w:r>
      <w:r w:rsidRPr="00887093">
        <w:rPr>
          <w:rFonts w:ascii="Verdana" w:hAnsi="Verdana"/>
          <w:b/>
          <w:sz w:val="20"/>
          <w:szCs w:val="20"/>
          <w:u w:val="single"/>
        </w:rPr>
        <w:t>Schluss</w:t>
      </w:r>
    </w:p>
    <w:p w:rsidR="00887093" w:rsidRPr="00887093" w:rsidRDefault="00887093" w:rsidP="00813F0A">
      <w:pPr>
        <w:rPr>
          <w:rFonts w:ascii="Verdana" w:hAnsi="Verdana"/>
          <w:sz w:val="20"/>
          <w:szCs w:val="20"/>
        </w:rPr>
      </w:pPr>
    </w:p>
    <w:p w:rsidR="00887093" w:rsidRPr="00887093" w:rsidRDefault="00887093" w:rsidP="00813F0A">
      <w:pPr>
        <w:rPr>
          <w:rFonts w:ascii="Verdana" w:hAnsi="Verdana"/>
          <w:sz w:val="20"/>
          <w:szCs w:val="20"/>
        </w:rPr>
      </w:pPr>
      <w:r w:rsidRPr="00887093">
        <w:rPr>
          <w:rFonts w:ascii="Verdana" w:hAnsi="Verdana"/>
          <w:sz w:val="20"/>
          <w:szCs w:val="20"/>
        </w:rPr>
        <w:t xml:space="preserve">Was passiert, wenn der Bundestag eine europäische Maßnahme oder wenn das </w:t>
      </w:r>
      <w:proofErr w:type="spellStart"/>
      <w:r w:rsidRPr="00887093">
        <w:rPr>
          <w:rFonts w:ascii="Verdana" w:hAnsi="Verdana"/>
          <w:sz w:val="20"/>
          <w:szCs w:val="20"/>
        </w:rPr>
        <w:t>BVerG</w:t>
      </w:r>
      <w:proofErr w:type="spellEnd"/>
      <w:r w:rsidRPr="00887093">
        <w:rPr>
          <w:rFonts w:ascii="Verdana" w:hAnsi="Verdana"/>
          <w:sz w:val="20"/>
          <w:szCs w:val="20"/>
        </w:rPr>
        <w:t xml:space="preserve"> einen europäischen Rechtsakt ablehnt? Bei </w:t>
      </w:r>
      <w:r w:rsidRPr="00887093">
        <w:rPr>
          <w:rFonts w:ascii="Verdana" w:hAnsi="Verdana"/>
          <w:b/>
          <w:sz w:val="20"/>
          <w:szCs w:val="20"/>
        </w:rPr>
        <w:t>kollidierenden Präferenzen</w:t>
      </w:r>
      <w:r w:rsidRPr="00887093">
        <w:rPr>
          <w:rFonts w:ascii="Verdana" w:hAnsi="Verdana"/>
          <w:sz w:val="20"/>
          <w:szCs w:val="20"/>
        </w:rPr>
        <w:t xml:space="preserve"> mit unterschiedlich genormten Systemen bzw. nationalen Präferenzen (</w:t>
      </w:r>
      <w:proofErr w:type="spellStart"/>
      <w:r w:rsidRPr="00887093">
        <w:rPr>
          <w:rFonts w:ascii="Verdana" w:hAnsi="Verdana"/>
          <w:sz w:val="20"/>
          <w:szCs w:val="20"/>
        </w:rPr>
        <w:t>trade</w:t>
      </w:r>
      <w:proofErr w:type="spellEnd"/>
      <w:r w:rsidRPr="00887093">
        <w:rPr>
          <w:rFonts w:ascii="Verdana" w:hAnsi="Verdana"/>
          <w:sz w:val="20"/>
          <w:szCs w:val="20"/>
        </w:rPr>
        <w:t xml:space="preserve"> </w:t>
      </w:r>
      <w:proofErr w:type="spellStart"/>
      <w:r w:rsidRPr="00887093">
        <w:rPr>
          <w:rFonts w:ascii="Verdana" w:hAnsi="Verdana"/>
          <w:sz w:val="20"/>
          <w:szCs w:val="20"/>
        </w:rPr>
        <w:t>offs</w:t>
      </w:r>
      <w:proofErr w:type="spellEnd"/>
      <w:r w:rsidRPr="00887093">
        <w:rPr>
          <w:rFonts w:ascii="Verdana" w:hAnsi="Verdana"/>
          <w:sz w:val="20"/>
          <w:szCs w:val="20"/>
        </w:rPr>
        <w:t>) eruptiert die integrationspolitisch zentrale Frage: Welche Normen beanspruchen einen Vorrang im Integrationsraum?</w:t>
      </w:r>
    </w:p>
    <w:sectPr w:rsidR="00887093" w:rsidRPr="008870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53B2D"/>
    <w:multiLevelType w:val="hybridMultilevel"/>
    <w:tmpl w:val="9EFA4B1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F4191A"/>
    <w:multiLevelType w:val="multilevel"/>
    <w:tmpl w:val="76E83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DA167D"/>
    <w:multiLevelType w:val="hybridMultilevel"/>
    <w:tmpl w:val="FC3E5A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36"/>
    <w:rsid w:val="00220904"/>
    <w:rsid w:val="002245BD"/>
    <w:rsid w:val="002471BE"/>
    <w:rsid w:val="002838BB"/>
    <w:rsid w:val="002E2A8B"/>
    <w:rsid w:val="004B7545"/>
    <w:rsid w:val="0051648B"/>
    <w:rsid w:val="00602421"/>
    <w:rsid w:val="00623D41"/>
    <w:rsid w:val="0063081E"/>
    <w:rsid w:val="007C4EAE"/>
    <w:rsid w:val="00813F0A"/>
    <w:rsid w:val="00822390"/>
    <w:rsid w:val="00887093"/>
    <w:rsid w:val="00A7289D"/>
    <w:rsid w:val="00BA70E1"/>
    <w:rsid w:val="00BF2B5B"/>
    <w:rsid w:val="00C13F0B"/>
    <w:rsid w:val="00C60FC8"/>
    <w:rsid w:val="00D20C36"/>
    <w:rsid w:val="00DF190C"/>
    <w:rsid w:val="00E813C9"/>
    <w:rsid w:val="00EA2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730F1-1FF4-44B9-B972-29D56186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F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308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3F0A"/>
    <w:pPr>
      <w:ind w:left="720"/>
      <w:contextualSpacing/>
    </w:pPr>
  </w:style>
  <w:style w:type="paragraph" w:styleId="Titel">
    <w:name w:val="Title"/>
    <w:basedOn w:val="Standard"/>
    <w:next w:val="Standard"/>
    <w:link w:val="TitelZchn"/>
    <w:uiPriority w:val="10"/>
    <w:qFormat/>
    <w:rsid w:val="0063081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3081E"/>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qFormat/>
    <w:rsid w:val="006308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3081E"/>
    <w:rPr>
      <w:rFonts w:eastAsiaTheme="minorEastAsia"/>
      <w:color w:val="5A5A5A" w:themeColor="text1" w:themeTint="A5"/>
      <w:spacing w:val="15"/>
      <w:lang w:eastAsia="de-DE"/>
    </w:rPr>
  </w:style>
  <w:style w:type="character" w:customStyle="1" w:styleId="berschrift1Zchn">
    <w:name w:val="Überschrift 1 Zchn"/>
    <w:basedOn w:val="Absatz-Standardschriftart"/>
    <w:link w:val="berschrift1"/>
    <w:uiPriority w:val="9"/>
    <w:rsid w:val="0063081E"/>
    <w:rPr>
      <w:rFonts w:asciiTheme="majorHAnsi" w:eastAsiaTheme="majorEastAsia" w:hAnsiTheme="majorHAnsi" w:cstheme="majorBidi"/>
      <w:color w:val="2E74B5" w:themeColor="accent1" w:themeShade="BF"/>
      <w:sz w:val="32"/>
      <w:szCs w:val="32"/>
      <w:lang w:eastAsia="de-DE"/>
    </w:rPr>
  </w:style>
  <w:style w:type="paragraph" w:styleId="KeinLeerraum">
    <w:name w:val="No Spacing"/>
    <w:uiPriority w:val="1"/>
    <w:qFormat/>
    <w:rsid w:val="00822390"/>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471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71B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5</cp:revision>
  <cp:lastPrinted>2018-07-27T20:22:00Z</cp:lastPrinted>
  <dcterms:created xsi:type="dcterms:W3CDTF">2018-07-10T21:59:00Z</dcterms:created>
  <dcterms:modified xsi:type="dcterms:W3CDTF">2018-07-27T20:42:00Z</dcterms:modified>
</cp:coreProperties>
</file>