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0" w:rsidRDefault="00767AF0" w:rsidP="00F4134E">
      <w:pPr>
        <w:pStyle w:val="berschrift1"/>
      </w:pPr>
      <w:r>
        <w:t>1. Institutionen</w:t>
      </w:r>
    </w:p>
    <w:p w:rsidR="00767AF0" w:rsidRPr="002A12D2" w:rsidRDefault="00486D07" w:rsidP="00767AF0">
      <w:pPr>
        <w:rPr>
          <w:rFonts w:ascii="Verdana" w:hAnsi="Verdana"/>
          <w:b/>
          <w:bCs/>
          <w:sz w:val="20"/>
          <w:szCs w:val="20"/>
          <w:u w:val="single"/>
        </w:rPr>
      </w:pPr>
      <w:r>
        <w:rPr>
          <w:rFonts w:ascii="Verdana" w:hAnsi="Verdana"/>
          <w:bCs/>
          <w:sz w:val="20"/>
          <w:szCs w:val="20"/>
        </w:rPr>
        <w:br/>
      </w:r>
      <w:r w:rsidR="00767AF0" w:rsidRPr="002A12D2">
        <w:rPr>
          <w:rFonts w:ascii="Verdana" w:hAnsi="Verdana"/>
          <w:bCs/>
          <w:sz w:val="20"/>
          <w:szCs w:val="20"/>
        </w:rPr>
        <w:t>1</w:t>
      </w:r>
      <w:r w:rsidR="007D17F3">
        <w:rPr>
          <w:rFonts w:ascii="Verdana" w:hAnsi="Verdana"/>
          <w:bCs/>
          <w:sz w:val="20"/>
          <w:szCs w:val="20"/>
        </w:rPr>
        <w:t>.</w:t>
      </w:r>
      <w:r w:rsidR="00767AF0" w:rsidRPr="002A12D2">
        <w:rPr>
          <w:bCs/>
        </w:rPr>
        <w:t xml:space="preserve"> </w:t>
      </w:r>
      <w:r w:rsidR="00767AF0" w:rsidRPr="002A12D2">
        <w:rPr>
          <w:rFonts w:ascii="Verdana" w:hAnsi="Verdana"/>
          <w:b/>
          <w:bCs/>
          <w:sz w:val="20"/>
          <w:szCs w:val="20"/>
          <w:u w:val="single"/>
        </w:rPr>
        <w:t xml:space="preserve">Allgemeine Informationen zum supranationalen </w:t>
      </w:r>
      <w:proofErr w:type="spellStart"/>
      <w:r w:rsidR="00767AF0" w:rsidRPr="002A12D2">
        <w:rPr>
          <w:rFonts w:ascii="Verdana" w:hAnsi="Verdana"/>
          <w:b/>
          <w:bCs/>
          <w:sz w:val="20"/>
          <w:szCs w:val="20"/>
          <w:u w:val="single"/>
        </w:rPr>
        <w:t>Governance</w:t>
      </w:r>
      <w:proofErr w:type="spellEnd"/>
      <w:r w:rsidR="00767AF0" w:rsidRPr="002A12D2">
        <w:rPr>
          <w:rFonts w:ascii="Verdana" w:hAnsi="Verdana"/>
          <w:b/>
          <w:bCs/>
          <w:sz w:val="20"/>
          <w:szCs w:val="20"/>
          <w:u w:val="single"/>
        </w:rPr>
        <w:t>-System</w:t>
      </w:r>
    </w:p>
    <w:p w:rsidR="007800F6" w:rsidRPr="00F4134E" w:rsidRDefault="00767AF0" w:rsidP="00767AF0">
      <w:pPr>
        <w:rPr>
          <w:rFonts w:ascii="Verdana" w:hAnsi="Verdana"/>
          <w:b/>
          <w:bCs/>
          <w:sz w:val="20"/>
          <w:szCs w:val="20"/>
        </w:rPr>
      </w:pPr>
      <w:r w:rsidRPr="00C36370">
        <w:rPr>
          <w:rFonts w:ascii="Verdana" w:hAnsi="Verdana"/>
          <w:sz w:val="20"/>
          <w:szCs w:val="20"/>
          <w:lang w:eastAsia="de-DE"/>
        </w:rPr>
        <w:t xml:space="preserve">Primäres Ziel des europäischen </w:t>
      </w:r>
      <w:r w:rsidR="00A42467" w:rsidRPr="00C36370">
        <w:rPr>
          <w:rFonts w:ascii="Verdana" w:hAnsi="Verdana"/>
          <w:sz w:val="20"/>
          <w:szCs w:val="20"/>
          <w:lang w:eastAsia="de-DE"/>
        </w:rPr>
        <w:t>Binnenmarkts</w:t>
      </w:r>
      <w:r w:rsidRPr="00C36370">
        <w:rPr>
          <w:rFonts w:ascii="Verdana" w:hAnsi="Verdana"/>
          <w:sz w:val="20"/>
          <w:szCs w:val="20"/>
          <w:lang w:eastAsia="de-DE"/>
        </w:rPr>
        <w:t xml:space="preserve"> ist die </w:t>
      </w:r>
      <w:r w:rsidRPr="00F4134E">
        <w:rPr>
          <w:rFonts w:ascii="Verdana" w:hAnsi="Verdana"/>
          <w:b/>
          <w:sz w:val="20"/>
          <w:szCs w:val="20"/>
          <w:lang w:eastAsia="de-DE"/>
        </w:rPr>
        <w:t>Generierung maximaler Wohlfahrt durch Skalenerträge</w:t>
      </w:r>
      <w:r w:rsidRPr="00C36370">
        <w:rPr>
          <w:rFonts w:ascii="Verdana" w:hAnsi="Verdana"/>
          <w:sz w:val="20"/>
          <w:szCs w:val="20"/>
          <w:lang w:eastAsia="de-DE"/>
        </w:rPr>
        <w:t xml:space="preserve"> (Transaktionskosten senken). Deshalb müssen europäische Entscheidungen, um Verlierer auszuschließen, in kooperativer Form mittels Institutionen getroffen werden.</w:t>
      </w:r>
      <w:r w:rsidR="00C36370">
        <w:rPr>
          <w:rFonts w:ascii="Verdana" w:hAnsi="Verdana"/>
          <w:sz w:val="20"/>
          <w:szCs w:val="20"/>
          <w:lang w:eastAsia="de-DE"/>
        </w:rPr>
        <w:br/>
      </w:r>
      <w:r w:rsidR="00C36370">
        <w:rPr>
          <w:rFonts w:ascii="Verdana" w:hAnsi="Verdana"/>
          <w:sz w:val="20"/>
          <w:szCs w:val="20"/>
          <w:lang w:eastAsia="de-DE"/>
        </w:rPr>
        <w:br/>
      </w:r>
      <w:r w:rsidR="00C36370" w:rsidRPr="00C36370">
        <w:rPr>
          <w:rFonts w:ascii="Verdana" w:hAnsi="Verdana"/>
          <w:bCs/>
          <w:sz w:val="20"/>
          <w:szCs w:val="20"/>
        </w:rPr>
        <w:t xml:space="preserve">Analog zum Nationalstaat hat auch die </w:t>
      </w:r>
      <w:r w:rsidR="00C36370" w:rsidRPr="0038345A">
        <w:rPr>
          <w:rFonts w:ascii="Verdana" w:hAnsi="Verdana"/>
          <w:b/>
          <w:bCs/>
          <w:sz w:val="20"/>
          <w:szCs w:val="20"/>
        </w:rPr>
        <w:t>EU</w:t>
      </w:r>
      <w:r w:rsidR="00C36370" w:rsidRPr="00C36370">
        <w:rPr>
          <w:rFonts w:ascii="Verdana" w:hAnsi="Verdana"/>
          <w:bCs/>
          <w:sz w:val="20"/>
          <w:szCs w:val="20"/>
        </w:rPr>
        <w:t xml:space="preserve"> drei Kernaufgaben zu bewältigen: Allokation, Distribution, Stabilisierung. </w:t>
      </w:r>
      <w:r w:rsidR="00C36370">
        <w:rPr>
          <w:rFonts w:ascii="Verdana" w:hAnsi="Verdana"/>
          <w:bCs/>
          <w:sz w:val="20"/>
          <w:szCs w:val="20"/>
        </w:rPr>
        <w:t xml:space="preserve">Dabei entsteht ein </w:t>
      </w:r>
      <w:r w:rsidR="00C36370" w:rsidRPr="0038345A">
        <w:rPr>
          <w:rFonts w:ascii="Verdana" w:hAnsi="Verdana"/>
          <w:b/>
          <w:bCs/>
          <w:sz w:val="20"/>
          <w:szCs w:val="20"/>
        </w:rPr>
        <w:t>Konflikt</w:t>
      </w:r>
      <w:r w:rsidR="00C36370">
        <w:rPr>
          <w:rFonts w:ascii="Verdana" w:hAnsi="Verdana"/>
          <w:bCs/>
          <w:sz w:val="20"/>
          <w:szCs w:val="20"/>
        </w:rPr>
        <w:t xml:space="preserve"> zwischen Nutzenmaximierung und Bürgernähe</w:t>
      </w:r>
      <w:r w:rsidR="0038345A">
        <w:rPr>
          <w:rFonts w:ascii="Verdana" w:hAnsi="Verdana"/>
          <w:bCs/>
          <w:sz w:val="20"/>
          <w:szCs w:val="20"/>
        </w:rPr>
        <w:t>.</w:t>
      </w:r>
      <w:r w:rsidR="0038345A">
        <w:rPr>
          <w:rFonts w:ascii="Verdana" w:hAnsi="Verdana"/>
          <w:bCs/>
          <w:sz w:val="20"/>
          <w:szCs w:val="20"/>
        </w:rPr>
        <w:br/>
      </w:r>
      <w:r w:rsidR="0038345A">
        <w:rPr>
          <w:rFonts w:ascii="Verdana" w:hAnsi="Verdana"/>
          <w:bCs/>
          <w:sz w:val="20"/>
          <w:szCs w:val="20"/>
        </w:rPr>
        <w:br/>
      </w:r>
      <w:r w:rsidR="0038345A" w:rsidRPr="0038345A">
        <w:rPr>
          <w:rFonts w:ascii="Verdana" w:hAnsi="Verdana"/>
          <w:b/>
          <w:bCs/>
          <w:sz w:val="20"/>
          <w:szCs w:val="20"/>
        </w:rPr>
        <w:t>Zentralisierung</w:t>
      </w:r>
      <w:r w:rsidR="0038345A">
        <w:rPr>
          <w:rFonts w:ascii="Verdana" w:hAnsi="Verdana"/>
          <w:bCs/>
          <w:sz w:val="20"/>
          <w:szCs w:val="20"/>
        </w:rPr>
        <w:t xml:space="preserve"> gilt als notwendig, wenn die Lebensverhältnisse regional differieren und angepasst werden sollen.</w:t>
      </w:r>
      <w:r w:rsidR="0038345A">
        <w:rPr>
          <w:rFonts w:ascii="Verdana" w:hAnsi="Verdana"/>
          <w:bCs/>
          <w:sz w:val="20"/>
          <w:szCs w:val="20"/>
        </w:rPr>
        <w:br/>
      </w:r>
      <w:r w:rsidR="00F4134E">
        <w:rPr>
          <w:rFonts w:ascii="Verdana" w:hAnsi="Verdana"/>
          <w:b/>
          <w:bCs/>
          <w:sz w:val="20"/>
          <w:szCs w:val="20"/>
        </w:rPr>
        <w:br/>
      </w:r>
      <w:r w:rsidR="0038345A" w:rsidRPr="0038345A">
        <w:rPr>
          <w:rFonts w:ascii="Verdana" w:hAnsi="Verdana"/>
          <w:b/>
          <w:bCs/>
          <w:sz w:val="20"/>
          <w:szCs w:val="20"/>
        </w:rPr>
        <w:t>Dezentralisierung</w:t>
      </w:r>
      <w:r w:rsidR="00F4134E">
        <w:rPr>
          <w:rFonts w:ascii="Verdana" w:hAnsi="Verdana"/>
          <w:bCs/>
          <w:sz w:val="20"/>
          <w:szCs w:val="20"/>
        </w:rPr>
        <w:t xml:space="preserve"> gilt laut </w:t>
      </w:r>
      <w:r w:rsidR="007800F6" w:rsidRPr="007800F6">
        <w:rPr>
          <w:rFonts w:ascii="Verdana" w:hAnsi="Verdana"/>
          <w:b/>
          <w:bCs/>
          <w:sz w:val="20"/>
          <w:szCs w:val="20"/>
        </w:rPr>
        <w:t>Dezentralisierungstheorem</w:t>
      </w:r>
      <w:r w:rsidR="00F4134E">
        <w:rPr>
          <w:rFonts w:ascii="Verdana" w:hAnsi="Verdana"/>
          <w:bCs/>
          <w:sz w:val="20"/>
          <w:szCs w:val="20"/>
        </w:rPr>
        <w:t xml:space="preserve"> als notwendig, wenn:</w:t>
      </w:r>
      <w:r w:rsidR="007800F6">
        <w:rPr>
          <w:rFonts w:ascii="Verdana" w:hAnsi="Verdana"/>
          <w:bCs/>
          <w:sz w:val="20"/>
          <w:szCs w:val="20"/>
        </w:rPr>
        <w:br/>
      </w:r>
      <w:r w:rsidR="007800F6" w:rsidRPr="007800F6">
        <w:rPr>
          <w:rFonts w:ascii="Verdana" w:hAnsi="Verdana"/>
          <w:b/>
          <w:bCs/>
          <w:sz w:val="20"/>
          <w:szCs w:val="20"/>
        </w:rPr>
        <w:t>1</w:t>
      </w:r>
      <w:r w:rsidR="007800F6">
        <w:rPr>
          <w:rFonts w:ascii="Verdana" w:hAnsi="Verdana"/>
          <w:bCs/>
          <w:sz w:val="20"/>
          <w:szCs w:val="20"/>
        </w:rPr>
        <w:t>. die Differenzen der Bürger zwischen (interregional), aber nicht innerhalb (intraregional) der Verwaltungseinheiten differieren.</w:t>
      </w:r>
      <w:r w:rsidR="007800F6">
        <w:rPr>
          <w:rFonts w:ascii="Verdana" w:hAnsi="Verdana"/>
          <w:bCs/>
          <w:sz w:val="20"/>
          <w:szCs w:val="20"/>
        </w:rPr>
        <w:br/>
      </w:r>
      <w:r w:rsidR="007800F6" w:rsidRPr="007800F6">
        <w:rPr>
          <w:rFonts w:ascii="Verdana" w:hAnsi="Verdana"/>
          <w:b/>
          <w:bCs/>
          <w:sz w:val="20"/>
          <w:szCs w:val="20"/>
        </w:rPr>
        <w:t>2</w:t>
      </w:r>
      <w:r w:rsidR="007800F6">
        <w:rPr>
          <w:rFonts w:ascii="Verdana" w:hAnsi="Verdana"/>
          <w:bCs/>
          <w:sz w:val="20"/>
          <w:szCs w:val="20"/>
        </w:rPr>
        <w:t>. Keine externen Kosten entstehen, d.h. die Kosten der Bereitstellung auf das räumliche Gebiet der Verwaltungseinheit beschränken.</w:t>
      </w:r>
      <w:r w:rsidR="007800F6">
        <w:rPr>
          <w:rFonts w:ascii="Verdana" w:hAnsi="Verdana"/>
          <w:bCs/>
          <w:sz w:val="20"/>
          <w:szCs w:val="20"/>
        </w:rPr>
        <w:br/>
      </w:r>
      <w:r w:rsidR="007800F6" w:rsidRPr="007800F6">
        <w:rPr>
          <w:rFonts w:ascii="Verdana" w:hAnsi="Verdana"/>
          <w:b/>
          <w:bCs/>
          <w:sz w:val="20"/>
          <w:szCs w:val="20"/>
        </w:rPr>
        <w:t>3</w:t>
      </w:r>
      <w:r w:rsidR="007800F6">
        <w:rPr>
          <w:rFonts w:ascii="Verdana" w:hAnsi="Verdana"/>
          <w:bCs/>
          <w:sz w:val="20"/>
          <w:szCs w:val="20"/>
        </w:rPr>
        <w:t>. Die Grenz- und Durchschnittskosten in jeder Region gleich sind.</w:t>
      </w:r>
    </w:p>
    <w:p w:rsidR="00942E82" w:rsidRDefault="00942E82" w:rsidP="00767AF0">
      <w:pPr>
        <w:rPr>
          <w:rFonts w:ascii="Verdana" w:hAnsi="Verdana"/>
          <w:bCs/>
          <w:sz w:val="20"/>
          <w:szCs w:val="20"/>
        </w:rPr>
      </w:pPr>
      <w:bookmarkStart w:id="0" w:name="_GoBack"/>
      <w:r>
        <w:rPr>
          <w:rFonts w:ascii="Verdana" w:hAnsi="Verdana"/>
          <w:bCs/>
          <w:sz w:val="20"/>
          <w:szCs w:val="20"/>
        </w:rPr>
        <w:t xml:space="preserve">Im Zuge der </w:t>
      </w:r>
      <w:r w:rsidR="00F4134E">
        <w:rPr>
          <w:rFonts w:ascii="Verdana" w:hAnsi="Verdana"/>
          <w:bCs/>
          <w:sz w:val="20"/>
          <w:szCs w:val="20"/>
        </w:rPr>
        <w:t>EU-</w:t>
      </w:r>
      <w:r>
        <w:rPr>
          <w:rFonts w:ascii="Verdana" w:hAnsi="Verdana"/>
          <w:bCs/>
          <w:sz w:val="20"/>
          <w:szCs w:val="20"/>
        </w:rPr>
        <w:t>Zentralisierung mussten viele nationale Institutionen wie Bundesbank, Bundeskartellamt oder zuletzt das Bundesverfassungsgericht erheblich Federn lassen.</w:t>
      </w:r>
    </w:p>
    <w:bookmarkEnd w:id="0"/>
    <w:p w:rsidR="00942E82" w:rsidRDefault="00942E82" w:rsidP="00942E82">
      <w:pPr>
        <w:pStyle w:val="KeinLeerraum"/>
        <w:rPr>
          <w:rFonts w:ascii="Verdana" w:hAnsi="Verdana"/>
          <w:sz w:val="20"/>
          <w:szCs w:val="20"/>
        </w:rPr>
      </w:pPr>
      <w:r w:rsidRPr="00942E82">
        <w:rPr>
          <w:rFonts w:ascii="Verdana" w:hAnsi="Verdana"/>
          <w:sz w:val="20"/>
          <w:szCs w:val="20"/>
        </w:rPr>
        <w:t xml:space="preserve">Die Entwicklung der EU beruht auf Zentralisierungstendenzen, die auch ähnlich bei der Entwicklung von Nationalstaaten empirisch zu beobachten ist. </w:t>
      </w:r>
      <w:r w:rsidRPr="00F4134E">
        <w:rPr>
          <w:rFonts w:ascii="Verdana" w:hAnsi="Verdana"/>
          <w:b/>
          <w:sz w:val="20"/>
          <w:szCs w:val="20"/>
        </w:rPr>
        <w:t>Nationalstaaten</w:t>
      </w:r>
      <w:r w:rsidRPr="00942E82">
        <w:rPr>
          <w:rFonts w:ascii="Verdana" w:hAnsi="Verdana"/>
          <w:sz w:val="20"/>
          <w:szCs w:val="20"/>
        </w:rPr>
        <w:t xml:space="preserve"> aber zentralisieren ihre Tätigkeiten auf die Verwirklichung des Wohlfahrtsstaates. Dagegen resultiert </w:t>
      </w:r>
      <w:r w:rsidRPr="00F4134E">
        <w:rPr>
          <w:rFonts w:ascii="Verdana" w:hAnsi="Verdana"/>
          <w:b/>
          <w:sz w:val="20"/>
          <w:szCs w:val="20"/>
        </w:rPr>
        <w:t>europäische Zentralisierung</w:t>
      </w:r>
      <w:r w:rsidRPr="00942E82">
        <w:rPr>
          <w:rFonts w:ascii="Verdana" w:hAnsi="Verdana"/>
          <w:sz w:val="20"/>
          <w:szCs w:val="20"/>
        </w:rPr>
        <w:t xml:space="preserve"> auf eine Beschränkung der Staatstätigkeit durch den Markt. Zentrales Ziel der EU: Vollendung des Binnenmarktes, in dem keine wettbewerbsverzerrende Intervention durch Mitgliedstaaten besteht. Mit dieser Zielpräferenz wird gleichzeitig die nationale Ordnungspolitik (Präferenzen) in Frage gestellt. Die EU besitzt keine Kompetenzen eines sozialen Leistungs- oder Gewährleistungsstaates, womit ihr möglicherweise eine überlebensnotwendige Input-Legitimität </w:t>
      </w:r>
      <w:proofErr w:type="spellStart"/>
      <w:r w:rsidRPr="00942E82">
        <w:rPr>
          <w:rFonts w:ascii="Verdana" w:hAnsi="Verdana"/>
          <w:sz w:val="20"/>
          <w:szCs w:val="20"/>
        </w:rPr>
        <w:t>abhanden kommen</w:t>
      </w:r>
      <w:proofErr w:type="spellEnd"/>
      <w:r w:rsidRPr="00942E82">
        <w:rPr>
          <w:rFonts w:ascii="Verdana" w:hAnsi="Verdana"/>
          <w:sz w:val="20"/>
          <w:szCs w:val="20"/>
        </w:rPr>
        <w:t xml:space="preserve"> kann.</w:t>
      </w:r>
    </w:p>
    <w:p w:rsidR="00942E82" w:rsidRDefault="00942E82" w:rsidP="00942E82">
      <w:pPr>
        <w:pStyle w:val="KeinLeerraum"/>
        <w:rPr>
          <w:rFonts w:ascii="Verdana" w:hAnsi="Verdana"/>
          <w:sz w:val="20"/>
          <w:szCs w:val="20"/>
        </w:rPr>
      </w:pPr>
    </w:p>
    <w:p w:rsidR="00942E82" w:rsidRPr="002A12D2" w:rsidRDefault="00942E82" w:rsidP="00942E82">
      <w:pPr>
        <w:pStyle w:val="KeinLeerraum"/>
        <w:rPr>
          <w:rFonts w:ascii="Verdana" w:hAnsi="Verdana"/>
          <w:bCs/>
          <w:sz w:val="20"/>
          <w:szCs w:val="20"/>
        </w:rPr>
      </w:pPr>
      <w:r w:rsidRPr="002A12D2">
        <w:rPr>
          <w:rFonts w:ascii="Verdana" w:hAnsi="Verdana"/>
          <w:bCs/>
          <w:sz w:val="20"/>
          <w:szCs w:val="20"/>
        </w:rPr>
        <w:t>Welche Ebene für die Geld- und Stabilitätspolitik zuständig sein soll, ist weiterhin im Integrationsraum umstritten. Gleiches gilt auch für die distributive Politik. Bei allokativen Aufgaben scheint die Antwort einfacher zu sein. Das Zentrum der EU ist eindeutig der Binnenmarkt, den es vor Marktversagen zu schützen gilt. Die grundlegende Idee des Binnenmarktes ist die Herstellung maximaler Mobilität für Güter, Dienstleistungen, Kapital und Arbeit, sprich: einer Minimierung der Wanderungshemmnisse und mithin einer maximalen Wettbewerbsintensität.</w:t>
      </w:r>
    </w:p>
    <w:p w:rsidR="00942E82" w:rsidRPr="002A12D2" w:rsidRDefault="00942E82" w:rsidP="00942E82">
      <w:pPr>
        <w:pStyle w:val="KeinLeerraum"/>
        <w:rPr>
          <w:rFonts w:ascii="Verdana" w:hAnsi="Verdana"/>
          <w:bCs/>
          <w:sz w:val="20"/>
          <w:szCs w:val="20"/>
        </w:rPr>
      </w:pPr>
    </w:p>
    <w:p w:rsidR="00942E82" w:rsidRPr="002A12D2" w:rsidRDefault="00942E82" w:rsidP="00942E82">
      <w:pPr>
        <w:pStyle w:val="KeinLeerraum"/>
        <w:rPr>
          <w:rFonts w:ascii="Verdana" w:hAnsi="Verdana"/>
          <w:sz w:val="20"/>
          <w:szCs w:val="20"/>
        </w:rPr>
      </w:pPr>
      <w:r w:rsidRPr="002A12D2">
        <w:rPr>
          <w:rFonts w:ascii="Verdana" w:hAnsi="Verdana"/>
          <w:sz w:val="20"/>
          <w:szCs w:val="20"/>
        </w:rPr>
        <w:t xml:space="preserve">Die Sicherung einer </w:t>
      </w:r>
      <w:r w:rsidRPr="00F4134E">
        <w:rPr>
          <w:rFonts w:ascii="Verdana" w:hAnsi="Verdana"/>
          <w:b/>
          <w:sz w:val="20"/>
          <w:szCs w:val="20"/>
        </w:rPr>
        <w:t>effizienten Marktwirtschaft</w:t>
      </w:r>
      <w:r w:rsidRPr="002A12D2">
        <w:rPr>
          <w:rFonts w:ascii="Verdana" w:hAnsi="Verdana"/>
          <w:sz w:val="20"/>
          <w:szCs w:val="20"/>
        </w:rPr>
        <w:t xml:space="preserve"> ist zwar ein notwendige, aber keine hinreichende Bedingung zur Realisierung eines sozioökonomischen Wohlfahrtsoptimums. Distributive Ergebnisse, die als Reflex von marktwirtschaftlichen Allokationsmechanismen entstehen, können von Bürgern als </w:t>
      </w:r>
      <w:r w:rsidRPr="00F4134E">
        <w:rPr>
          <w:rFonts w:ascii="Verdana" w:hAnsi="Verdana"/>
          <w:b/>
          <w:sz w:val="20"/>
          <w:szCs w:val="20"/>
        </w:rPr>
        <w:t>ungerecht oder unsozial</w:t>
      </w:r>
      <w:r w:rsidRPr="002A12D2">
        <w:rPr>
          <w:rFonts w:ascii="Verdana" w:hAnsi="Verdana"/>
          <w:sz w:val="20"/>
          <w:szCs w:val="20"/>
        </w:rPr>
        <w:t xml:space="preserve"> empfunden werden. Es kommt zu einer Ablehnung der Marktwirtschaft. Ähnliches ereignet sich auch auf der europäischen Ebene. Gesellschaftliche Präferenzen zur sozialen Gerechtigkeit bzw. zum sozialen Frieden werden durchgesetzt. Initiatoren distributiver Maßnahmen sind in der Regel die Mitgliedstaaten, um zugleich die Integration mit positiven Effekten zu füttern und zu stabilisieren.</w:t>
      </w:r>
    </w:p>
    <w:p w:rsidR="00942E82" w:rsidRPr="002A12D2" w:rsidRDefault="00942E82" w:rsidP="00767AF0">
      <w:pPr>
        <w:rPr>
          <w:rFonts w:ascii="Verdana" w:hAnsi="Verdana"/>
          <w:bCs/>
          <w:sz w:val="20"/>
          <w:szCs w:val="20"/>
        </w:rPr>
      </w:pPr>
    </w:p>
    <w:p w:rsidR="0094592A" w:rsidRPr="002A12D2" w:rsidRDefault="0094592A" w:rsidP="00767AF0">
      <w:pPr>
        <w:rPr>
          <w:rFonts w:ascii="Verdana" w:hAnsi="Verdana"/>
          <w:bCs/>
          <w:sz w:val="20"/>
          <w:szCs w:val="20"/>
        </w:rPr>
      </w:pPr>
      <w:r w:rsidRPr="002A12D2">
        <w:rPr>
          <w:rFonts w:ascii="Verdana" w:hAnsi="Verdana"/>
          <w:sz w:val="20"/>
          <w:szCs w:val="20"/>
        </w:rPr>
        <w:lastRenderedPageBreak/>
        <w:t xml:space="preserve">Die EU wird von </w:t>
      </w:r>
      <w:r w:rsidRPr="00F4134E">
        <w:rPr>
          <w:rFonts w:ascii="Verdana" w:hAnsi="Verdana"/>
          <w:b/>
          <w:sz w:val="20"/>
          <w:szCs w:val="20"/>
        </w:rPr>
        <w:t>Mitgliedstaaten</w:t>
      </w:r>
      <w:r w:rsidRPr="002A12D2">
        <w:rPr>
          <w:rFonts w:ascii="Verdana" w:hAnsi="Verdana"/>
          <w:sz w:val="20"/>
          <w:szCs w:val="20"/>
        </w:rPr>
        <w:t xml:space="preserve"> gesteuert. Staaten können – unter der Voraussetzung souveräner Entscheidungsträger – aus der EU bei mangelnder Akzeptanz </w:t>
      </w:r>
      <w:r w:rsidRPr="00F4134E">
        <w:rPr>
          <w:rFonts w:ascii="Verdana" w:hAnsi="Verdana"/>
          <w:b/>
          <w:sz w:val="20"/>
          <w:szCs w:val="20"/>
        </w:rPr>
        <w:t>austreten</w:t>
      </w:r>
      <w:r w:rsidRPr="002A12D2">
        <w:rPr>
          <w:rFonts w:ascii="Verdana" w:hAnsi="Verdana"/>
          <w:sz w:val="20"/>
          <w:szCs w:val="20"/>
        </w:rPr>
        <w:t xml:space="preserve">. Es kommt – im Idealfall - zur mitgliedstaatlichen </w:t>
      </w:r>
      <w:r w:rsidRPr="00F4134E">
        <w:rPr>
          <w:rFonts w:ascii="Verdana" w:hAnsi="Verdana"/>
          <w:b/>
          <w:sz w:val="20"/>
          <w:szCs w:val="20"/>
        </w:rPr>
        <w:t>Kontrolle</w:t>
      </w:r>
      <w:r w:rsidRPr="002A12D2">
        <w:rPr>
          <w:rFonts w:ascii="Verdana" w:hAnsi="Verdana"/>
          <w:sz w:val="20"/>
          <w:szCs w:val="20"/>
        </w:rPr>
        <w:t xml:space="preserve"> über die Kommission und somit zur Stärkung dezentraler Positionen.</w:t>
      </w:r>
    </w:p>
    <w:p w:rsidR="0094592A" w:rsidRPr="002A12D2" w:rsidRDefault="0094592A" w:rsidP="002A12D2">
      <w:pPr>
        <w:pStyle w:val="KeinLeerraum"/>
        <w:rPr>
          <w:rFonts w:ascii="Verdana" w:hAnsi="Verdana"/>
          <w:sz w:val="20"/>
          <w:szCs w:val="20"/>
        </w:rPr>
      </w:pPr>
      <w:r w:rsidRPr="002A12D2">
        <w:rPr>
          <w:rFonts w:ascii="Verdana" w:hAnsi="Verdana"/>
          <w:sz w:val="20"/>
          <w:szCs w:val="20"/>
        </w:rPr>
        <w:t xml:space="preserve">Einheitlich geltende, mithin zentrale Maßnahmen erlässt die EU durch </w:t>
      </w:r>
      <w:r w:rsidRPr="00F4134E">
        <w:rPr>
          <w:rFonts w:ascii="Verdana" w:hAnsi="Verdana"/>
          <w:b/>
          <w:sz w:val="20"/>
          <w:szCs w:val="20"/>
        </w:rPr>
        <w:t>Harmonisierung</w:t>
      </w:r>
      <w:r w:rsidRPr="002A12D2">
        <w:rPr>
          <w:rFonts w:ascii="Verdana" w:hAnsi="Verdana"/>
          <w:sz w:val="20"/>
          <w:szCs w:val="20"/>
        </w:rPr>
        <w:t xml:space="preserve"> (ordnungspolitische Strategie), d.h. a) </w:t>
      </w:r>
      <w:r w:rsidRPr="00F4134E">
        <w:rPr>
          <w:rFonts w:ascii="Verdana" w:hAnsi="Verdana"/>
          <w:sz w:val="20"/>
          <w:szCs w:val="20"/>
        </w:rPr>
        <w:t>Verordnung (VO) oder b) Richtlinie</w:t>
      </w:r>
      <w:r w:rsidRPr="002A12D2">
        <w:rPr>
          <w:rFonts w:ascii="Verdana" w:hAnsi="Verdana"/>
          <w:sz w:val="20"/>
          <w:szCs w:val="20"/>
        </w:rPr>
        <w:t xml:space="preserve">. Eine </w:t>
      </w:r>
      <w:r w:rsidR="00F4134E" w:rsidRPr="00F4134E">
        <w:rPr>
          <w:rFonts w:ascii="Verdana" w:hAnsi="Verdana"/>
          <w:b/>
          <w:sz w:val="20"/>
          <w:szCs w:val="20"/>
        </w:rPr>
        <w:t>Verordnung</w:t>
      </w:r>
      <w:r w:rsidRPr="002A12D2">
        <w:rPr>
          <w:rFonts w:ascii="Verdana" w:hAnsi="Verdana"/>
          <w:sz w:val="20"/>
          <w:szCs w:val="20"/>
        </w:rPr>
        <w:t xml:space="preserve"> ist an alle Bürger adressiert und besitzt eine allgemeine und unmittelbare Geltung (es bedarf keines legislativen Aktes). Eine </w:t>
      </w:r>
      <w:r w:rsidRPr="00F4134E">
        <w:rPr>
          <w:rFonts w:ascii="Verdana" w:hAnsi="Verdana"/>
          <w:b/>
          <w:sz w:val="20"/>
          <w:szCs w:val="20"/>
        </w:rPr>
        <w:t xml:space="preserve">Richtlinie </w:t>
      </w:r>
      <w:r w:rsidRPr="002A12D2">
        <w:rPr>
          <w:rFonts w:ascii="Verdana" w:hAnsi="Verdana"/>
          <w:sz w:val="20"/>
          <w:szCs w:val="20"/>
        </w:rPr>
        <w:t xml:space="preserve">ist an Mitgliedstaaten (Regierungen, Parlamente) - und </w:t>
      </w:r>
      <w:r w:rsidRPr="002A12D2">
        <w:rPr>
          <w:rFonts w:ascii="Verdana" w:hAnsi="Verdana"/>
          <w:i/>
          <w:sz w:val="20"/>
          <w:szCs w:val="20"/>
        </w:rPr>
        <w:t>nicht</w:t>
      </w:r>
      <w:r w:rsidRPr="002A12D2">
        <w:rPr>
          <w:rFonts w:ascii="Verdana" w:hAnsi="Verdana"/>
          <w:sz w:val="20"/>
          <w:szCs w:val="20"/>
        </w:rPr>
        <w:t xml:space="preserve"> an Gerichte oder Bürger - adressiert, sie beinhaltet verbindliche Ziele, zu ihrer Verwirklichung haben die Staaten eine freie Wahl der Mittel zur Zielerreichung. Eine dritte, selten genutzte Möglichkeit zur Zentralisierung besteht in </w:t>
      </w:r>
      <w:r w:rsidRPr="00F4134E">
        <w:rPr>
          <w:rFonts w:ascii="Verdana" w:hAnsi="Verdana"/>
          <w:b/>
          <w:sz w:val="20"/>
          <w:szCs w:val="20"/>
        </w:rPr>
        <w:t>Empfehlungen oder Stellungnahmen</w:t>
      </w:r>
      <w:r w:rsidRPr="002A12D2">
        <w:rPr>
          <w:rFonts w:ascii="Verdana" w:hAnsi="Verdana"/>
          <w:sz w:val="20"/>
          <w:szCs w:val="20"/>
        </w:rPr>
        <w:t xml:space="preserve">, die eine unverbindliche Äußerung ohne politische Bindung (gerichtlich nicht einklagbar) ist. </w:t>
      </w:r>
    </w:p>
    <w:p w:rsidR="008F5C73" w:rsidRPr="002A12D2" w:rsidRDefault="008F5C73" w:rsidP="002A12D2">
      <w:pPr>
        <w:pStyle w:val="KeinLeerraum"/>
        <w:rPr>
          <w:rFonts w:ascii="Verdana" w:hAnsi="Verdana"/>
          <w:sz w:val="20"/>
          <w:szCs w:val="20"/>
        </w:rPr>
      </w:pPr>
    </w:p>
    <w:p w:rsidR="008F5C73" w:rsidRPr="002A12D2" w:rsidRDefault="008F5C73" w:rsidP="002A12D2">
      <w:pPr>
        <w:pStyle w:val="KeinLeerraum"/>
        <w:rPr>
          <w:rFonts w:ascii="Verdana" w:hAnsi="Verdana"/>
          <w:sz w:val="20"/>
          <w:szCs w:val="20"/>
        </w:rPr>
      </w:pPr>
      <w:r w:rsidRPr="002A12D2">
        <w:rPr>
          <w:rFonts w:ascii="Verdana" w:hAnsi="Verdana"/>
          <w:sz w:val="20"/>
          <w:szCs w:val="20"/>
        </w:rPr>
        <w:t>Ökonomische Gründe zur Zentralisierung ergeben sich aus externen Effe</w:t>
      </w:r>
      <w:r w:rsidR="00F4134E">
        <w:rPr>
          <w:rFonts w:ascii="Verdana" w:hAnsi="Verdana"/>
          <w:sz w:val="20"/>
          <w:szCs w:val="20"/>
        </w:rPr>
        <w:t xml:space="preserve">kten wie Umweltkosten, es wird </w:t>
      </w:r>
      <w:r w:rsidR="00F4134E" w:rsidRPr="00F4134E">
        <w:rPr>
          <w:rFonts w:ascii="Verdana" w:hAnsi="Verdana"/>
          <w:sz w:val="20"/>
          <w:szCs w:val="20"/>
        </w:rPr>
        <w:t>"</w:t>
      </w:r>
      <w:r w:rsidRPr="00F4134E">
        <w:rPr>
          <w:rFonts w:ascii="Verdana" w:hAnsi="Verdana"/>
          <w:b/>
          <w:sz w:val="20"/>
          <w:szCs w:val="20"/>
        </w:rPr>
        <w:t>weniger Staat</w:t>
      </w:r>
      <w:r w:rsidR="00F4134E" w:rsidRPr="00F4134E">
        <w:rPr>
          <w:rFonts w:ascii="Verdana" w:hAnsi="Verdana"/>
          <w:sz w:val="20"/>
          <w:szCs w:val="20"/>
        </w:rPr>
        <w:t>"</w:t>
      </w:r>
      <w:r w:rsidR="00F4134E">
        <w:rPr>
          <w:rFonts w:ascii="Verdana" w:hAnsi="Verdana"/>
          <w:b/>
          <w:sz w:val="20"/>
          <w:szCs w:val="20"/>
        </w:rPr>
        <w:t xml:space="preserve"> </w:t>
      </w:r>
      <w:r w:rsidRPr="002A12D2">
        <w:rPr>
          <w:rFonts w:ascii="Verdana" w:hAnsi="Verdana"/>
          <w:sz w:val="20"/>
          <w:szCs w:val="20"/>
        </w:rPr>
        <w:t>benötigt. Ein Interesse der Nationals</w:t>
      </w:r>
      <w:r w:rsidR="00F4134E">
        <w:rPr>
          <w:rFonts w:ascii="Verdana" w:hAnsi="Verdana"/>
          <w:sz w:val="20"/>
          <w:szCs w:val="20"/>
        </w:rPr>
        <w:t>t</w:t>
      </w:r>
      <w:r w:rsidRPr="002A12D2">
        <w:rPr>
          <w:rFonts w:ascii="Verdana" w:hAnsi="Verdana"/>
          <w:sz w:val="20"/>
          <w:szCs w:val="20"/>
        </w:rPr>
        <w:t>aaten an Zentralisierung gilt der Vermeidung parlamentarischer Kontrolle, Gesetzgebungsinitiative liegt unter ausschließlicher Nutzung supranationaler Paradigmen bei der Europäischen Kommission („Europäisches Kabinett“), damit werden Möglichkeiten zur Dezentralisierung erschwert.</w:t>
      </w:r>
    </w:p>
    <w:p w:rsidR="008F5C73" w:rsidRPr="002A12D2" w:rsidRDefault="002A12D2" w:rsidP="002A12D2">
      <w:pPr>
        <w:pStyle w:val="KeinLeerraum"/>
        <w:rPr>
          <w:rFonts w:ascii="Verdana" w:hAnsi="Verdana"/>
          <w:sz w:val="20"/>
          <w:szCs w:val="20"/>
        </w:rPr>
      </w:pPr>
      <w:r>
        <w:rPr>
          <w:rFonts w:ascii="Verdana" w:hAnsi="Verdana"/>
          <w:sz w:val="20"/>
          <w:szCs w:val="20"/>
        </w:rPr>
        <w:t xml:space="preserve">Es gibt auch nationalistische </w:t>
      </w:r>
      <w:r w:rsidR="008F5C73" w:rsidRPr="002A12D2">
        <w:rPr>
          <w:rFonts w:ascii="Verdana" w:hAnsi="Verdana"/>
          <w:b/>
          <w:sz w:val="20"/>
          <w:szCs w:val="20"/>
        </w:rPr>
        <w:t xml:space="preserve">Bewegungen </w:t>
      </w:r>
      <w:r w:rsidRPr="002A12D2">
        <w:rPr>
          <w:rFonts w:ascii="Verdana" w:hAnsi="Verdana"/>
          <w:b/>
          <w:sz w:val="20"/>
          <w:szCs w:val="20"/>
        </w:rPr>
        <w:t>gegen Zentralität</w:t>
      </w:r>
      <w:r>
        <w:rPr>
          <w:rFonts w:ascii="Verdana" w:hAnsi="Verdana"/>
          <w:sz w:val="20"/>
          <w:szCs w:val="20"/>
        </w:rPr>
        <w:t xml:space="preserve"> </w:t>
      </w:r>
      <w:r w:rsidR="008F5C73" w:rsidRPr="002A12D2">
        <w:rPr>
          <w:rFonts w:ascii="Verdana" w:hAnsi="Verdana"/>
          <w:sz w:val="20"/>
          <w:szCs w:val="20"/>
        </w:rPr>
        <w:t>wie in Spanien (Autonomiebewegungen in Katalonien), Belgien oder Nordirland (religiöser Konflikt zwischen Protestanten und Katholiken) und Deutschland (AfD).</w:t>
      </w:r>
    </w:p>
    <w:p w:rsidR="008F5C73" w:rsidRPr="002A12D2" w:rsidRDefault="008F5C73" w:rsidP="002A12D2">
      <w:pPr>
        <w:pStyle w:val="KeinLeerraum"/>
        <w:rPr>
          <w:rFonts w:ascii="Verdana" w:hAnsi="Verdana"/>
          <w:sz w:val="20"/>
          <w:szCs w:val="20"/>
        </w:rPr>
      </w:pPr>
    </w:p>
    <w:p w:rsidR="008F5C73" w:rsidRDefault="007800F6" w:rsidP="002A12D2">
      <w:pPr>
        <w:pStyle w:val="KeinLeerraum"/>
        <w:rPr>
          <w:rFonts w:ascii="Verdana" w:hAnsi="Verdana"/>
          <w:sz w:val="20"/>
          <w:szCs w:val="20"/>
        </w:rPr>
      </w:pPr>
      <w:proofErr w:type="spellStart"/>
      <w:r w:rsidRPr="002A12D2">
        <w:rPr>
          <w:rFonts w:ascii="Verdana" w:hAnsi="Verdana"/>
          <w:b/>
          <w:sz w:val="20"/>
          <w:szCs w:val="20"/>
        </w:rPr>
        <w:t>Parkinsonsche</w:t>
      </w:r>
      <w:proofErr w:type="spellEnd"/>
      <w:r w:rsidRPr="002A12D2">
        <w:rPr>
          <w:rFonts w:ascii="Verdana" w:hAnsi="Verdana"/>
          <w:b/>
          <w:sz w:val="20"/>
          <w:szCs w:val="20"/>
        </w:rPr>
        <w:t xml:space="preserve"> Gesetz zur Zentralisierung</w:t>
      </w:r>
      <w:r w:rsidRPr="002A12D2">
        <w:rPr>
          <w:rFonts w:ascii="Verdana" w:hAnsi="Verdana"/>
          <w:sz w:val="20"/>
          <w:szCs w:val="20"/>
        </w:rPr>
        <w:t xml:space="preserve"> (Kartoffeltheorem): Die Gründung einer Organisation ist leichter als ihre Abschaffung („Nun sind die Kartoffeln da, nun müssen sie auch gegessen wer</w:t>
      </w:r>
      <w:r w:rsidR="00F4134E">
        <w:rPr>
          <w:rFonts w:ascii="Verdana" w:hAnsi="Verdana"/>
          <w:sz w:val="20"/>
          <w:szCs w:val="20"/>
        </w:rPr>
        <w:t xml:space="preserve">den“). Die Existenz der EU bedarf also einer </w:t>
      </w:r>
      <w:r w:rsidR="00F4134E" w:rsidRPr="00F4134E">
        <w:rPr>
          <w:rFonts w:ascii="Verdana" w:hAnsi="Verdana"/>
          <w:b/>
          <w:sz w:val="20"/>
          <w:szCs w:val="20"/>
        </w:rPr>
        <w:t>Legitimation</w:t>
      </w:r>
      <w:r w:rsidR="00F4134E">
        <w:rPr>
          <w:rFonts w:ascii="Verdana" w:hAnsi="Verdana"/>
          <w:sz w:val="20"/>
          <w:szCs w:val="20"/>
        </w:rPr>
        <w:t>.</w:t>
      </w:r>
      <w:r w:rsidRPr="002A12D2">
        <w:rPr>
          <w:rFonts w:ascii="Verdana" w:hAnsi="Verdana"/>
          <w:sz w:val="20"/>
          <w:szCs w:val="20"/>
        </w:rPr>
        <w:br/>
      </w:r>
      <w:r w:rsidR="002A12D2" w:rsidRPr="002A12D2">
        <w:rPr>
          <w:rFonts w:ascii="Verdana" w:hAnsi="Verdana"/>
          <w:sz w:val="20"/>
          <w:szCs w:val="20"/>
        </w:rPr>
        <w:sym w:font="Wingdings" w:char="F0E0"/>
      </w:r>
      <w:r w:rsidRPr="002A12D2">
        <w:rPr>
          <w:rFonts w:ascii="Verdana" w:hAnsi="Verdana"/>
          <w:b/>
          <w:sz w:val="20"/>
          <w:szCs w:val="20"/>
        </w:rPr>
        <w:t>Parkinson</w:t>
      </w:r>
      <w:r w:rsidRPr="002A12D2">
        <w:rPr>
          <w:rFonts w:ascii="Verdana" w:hAnsi="Verdana"/>
          <w:sz w:val="20"/>
          <w:szCs w:val="20"/>
        </w:rPr>
        <w:t>: Die EU ist deutlich ein Projekt von politischen und ökonomischen Machteliten (</w:t>
      </w:r>
      <w:r w:rsidRPr="002A12D2">
        <w:rPr>
          <w:rFonts w:ascii="Verdana" w:hAnsi="Verdana"/>
          <w:i/>
          <w:sz w:val="20"/>
          <w:szCs w:val="20"/>
        </w:rPr>
        <w:t>Top-down-Modell</w:t>
      </w:r>
      <w:r w:rsidRPr="002A12D2">
        <w:rPr>
          <w:rFonts w:ascii="Verdana" w:hAnsi="Verdana"/>
          <w:sz w:val="20"/>
          <w:szCs w:val="20"/>
        </w:rPr>
        <w:t>) und kein demokratisches Anliegen europäischer Bürger (</w:t>
      </w:r>
      <w:proofErr w:type="spellStart"/>
      <w:r w:rsidRPr="002A12D2">
        <w:rPr>
          <w:rFonts w:ascii="Verdana" w:hAnsi="Verdana"/>
          <w:i/>
          <w:sz w:val="20"/>
          <w:szCs w:val="20"/>
        </w:rPr>
        <w:t>Bottom</w:t>
      </w:r>
      <w:proofErr w:type="spellEnd"/>
      <w:r w:rsidRPr="002A12D2">
        <w:rPr>
          <w:rFonts w:ascii="Verdana" w:hAnsi="Verdana"/>
          <w:i/>
          <w:sz w:val="20"/>
          <w:szCs w:val="20"/>
        </w:rPr>
        <w:t>-</w:t>
      </w:r>
      <w:proofErr w:type="spellStart"/>
      <w:r w:rsidRPr="002A12D2">
        <w:rPr>
          <w:rFonts w:ascii="Verdana" w:hAnsi="Verdana"/>
          <w:i/>
          <w:sz w:val="20"/>
          <w:szCs w:val="20"/>
        </w:rPr>
        <w:t>up</w:t>
      </w:r>
      <w:proofErr w:type="spellEnd"/>
      <w:r w:rsidRPr="002A12D2">
        <w:rPr>
          <w:rFonts w:ascii="Verdana" w:hAnsi="Verdana"/>
          <w:i/>
          <w:sz w:val="20"/>
          <w:szCs w:val="20"/>
        </w:rPr>
        <w:t>-Modell</w:t>
      </w:r>
      <w:r w:rsidRPr="002A12D2">
        <w:rPr>
          <w:rFonts w:ascii="Verdana" w:hAnsi="Verdana"/>
          <w:sz w:val="20"/>
          <w:szCs w:val="20"/>
        </w:rPr>
        <w:t>).</w:t>
      </w:r>
    </w:p>
    <w:p w:rsidR="002A12D2" w:rsidRPr="002A12D2" w:rsidRDefault="002A12D2" w:rsidP="002A12D2">
      <w:pPr>
        <w:pStyle w:val="KeinLeerraum"/>
        <w:rPr>
          <w:rFonts w:ascii="Verdana" w:hAnsi="Verdana"/>
          <w:sz w:val="20"/>
          <w:szCs w:val="20"/>
        </w:rPr>
      </w:pPr>
    </w:p>
    <w:p w:rsidR="002A12D2" w:rsidRPr="002A12D2" w:rsidRDefault="002A12D2" w:rsidP="002A12D2">
      <w:pPr>
        <w:pStyle w:val="KeinLeerraum"/>
        <w:rPr>
          <w:rFonts w:ascii="Verdana" w:hAnsi="Verdana"/>
          <w:sz w:val="20"/>
          <w:szCs w:val="20"/>
        </w:rPr>
      </w:pPr>
      <w:r w:rsidRPr="002A12D2">
        <w:rPr>
          <w:rFonts w:ascii="Verdana" w:hAnsi="Verdana"/>
          <w:sz w:val="20"/>
          <w:szCs w:val="20"/>
        </w:rPr>
        <w:t>Folgende integrationspolitische Perspektiven sind aufgrund der Zentralisierungs- oder Dezentralisierungsparadigmen möglich:</w:t>
      </w:r>
    </w:p>
    <w:p w:rsidR="002A12D2" w:rsidRPr="002A12D2" w:rsidRDefault="002A12D2" w:rsidP="002A12D2">
      <w:pPr>
        <w:pStyle w:val="KeinLeerraum"/>
        <w:rPr>
          <w:rFonts w:ascii="Verdana" w:hAnsi="Verdana"/>
          <w:sz w:val="20"/>
          <w:szCs w:val="20"/>
        </w:rPr>
      </w:pPr>
      <w:r>
        <w:rPr>
          <w:rFonts w:ascii="Verdana" w:hAnsi="Verdana"/>
          <w:sz w:val="20"/>
          <w:szCs w:val="20"/>
        </w:rPr>
        <w:t>1.</w:t>
      </w:r>
      <w:r w:rsidRPr="002A12D2">
        <w:rPr>
          <w:rFonts w:ascii="Verdana" w:hAnsi="Verdana"/>
          <w:sz w:val="20"/>
          <w:szCs w:val="20"/>
        </w:rPr>
        <w:t xml:space="preserve"> </w:t>
      </w:r>
      <w:r w:rsidRPr="002A12D2">
        <w:rPr>
          <w:rFonts w:ascii="Verdana" w:hAnsi="Verdana"/>
          <w:b/>
          <w:sz w:val="20"/>
          <w:szCs w:val="20"/>
        </w:rPr>
        <w:t xml:space="preserve">„United States </w:t>
      </w:r>
      <w:proofErr w:type="spellStart"/>
      <w:r w:rsidRPr="002A12D2">
        <w:rPr>
          <w:rFonts w:ascii="Verdana" w:hAnsi="Verdana"/>
          <w:b/>
          <w:sz w:val="20"/>
          <w:szCs w:val="20"/>
        </w:rPr>
        <w:t>of</w:t>
      </w:r>
      <w:proofErr w:type="spellEnd"/>
      <w:r w:rsidRPr="002A12D2">
        <w:rPr>
          <w:rFonts w:ascii="Verdana" w:hAnsi="Verdana"/>
          <w:b/>
          <w:sz w:val="20"/>
          <w:szCs w:val="20"/>
        </w:rPr>
        <w:t xml:space="preserve"> Europe</w:t>
      </w:r>
      <w:r w:rsidRPr="002A12D2">
        <w:rPr>
          <w:rFonts w:ascii="Verdana" w:hAnsi="Verdana"/>
          <w:sz w:val="20"/>
          <w:szCs w:val="20"/>
        </w:rPr>
        <w:t>“ (Winston Churchill, 1946 bei Rede vor Studenten der Uni Zürich),</w:t>
      </w:r>
    </w:p>
    <w:p w:rsidR="002A12D2" w:rsidRDefault="002A12D2" w:rsidP="002A12D2">
      <w:pPr>
        <w:pStyle w:val="KeinLeerraum"/>
        <w:rPr>
          <w:rFonts w:ascii="Verdana" w:hAnsi="Verdana"/>
          <w:sz w:val="20"/>
          <w:szCs w:val="20"/>
        </w:rPr>
      </w:pPr>
      <w:r>
        <w:rPr>
          <w:rFonts w:ascii="Verdana" w:hAnsi="Verdana"/>
          <w:sz w:val="20"/>
          <w:szCs w:val="20"/>
        </w:rPr>
        <w:t>2.</w:t>
      </w:r>
      <w:r w:rsidRPr="002A12D2">
        <w:rPr>
          <w:rFonts w:ascii="Verdana" w:hAnsi="Verdana"/>
          <w:sz w:val="20"/>
          <w:szCs w:val="20"/>
        </w:rPr>
        <w:t xml:space="preserve"> Forderung von „</w:t>
      </w:r>
      <w:proofErr w:type="spellStart"/>
      <w:r w:rsidRPr="002A12D2">
        <w:rPr>
          <w:rFonts w:ascii="Verdana" w:hAnsi="Verdana"/>
          <w:b/>
          <w:sz w:val="20"/>
          <w:szCs w:val="20"/>
        </w:rPr>
        <w:t>l`Europe</w:t>
      </w:r>
      <w:proofErr w:type="spellEnd"/>
      <w:r w:rsidRPr="002A12D2">
        <w:rPr>
          <w:rFonts w:ascii="Verdana" w:hAnsi="Verdana"/>
          <w:b/>
          <w:sz w:val="20"/>
          <w:szCs w:val="20"/>
        </w:rPr>
        <w:t xml:space="preserve"> des </w:t>
      </w:r>
      <w:proofErr w:type="spellStart"/>
      <w:r w:rsidRPr="002A12D2">
        <w:rPr>
          <w:rFonts w:ascii="Verdana" w:hAnsi="Verdana"/>
          <w:b/>
          <w:sz w:val="20"/>
          <w:szCs w:val="20"/>
        </w:rPr>
        <w:t>patries</w:t>
      </w:r>
      <w:proofErr w:type="spellEnd"/>
      <w:r w:rsidRPr="002A12D2">
        <w:rPr>
          <w:rFonts w:ascii="Verdana" w:hAnsi="Verdana"/>
          <w:sz w:val="20"/>
          <w:szCs w:val="20"/>
        </w:rPr>
        <w:t>“ (intergouvernementales Paradigma von Charles de Gaulle, 1965 bei Abwehr der Abschaffung des Einstimmigkeitsprinzips durch die Kommission unter Präsident Walter Hallstein).</w:t>
      </w:r>
    </w:p>
    <w:p w:rsidR="002A12D2" w:rsidRDefault="002A12D2" w:rsidP="002A12D2">
      <w:pPr>
        <w:pStyle w:val="KeinLeerraum"/>
        <w:rPr>
          <w:rFonts w:ascii="Verdana" w:hAnsi="Verdana"/>
          <w:sz w:val="20"/>
          <w:szCs w:val="20"/>
        </w:rPr>
      </w:pPr>
    </w:p>
    <w:p w:rsidR="002A12D2" w:rsidRDefault="002A12D2" w:rsidP="002A12D2">
      <w:pPr>
        <w:pStyle w:val="KeinLeerraum"/>
        <w:rPr>
          <w:rFonts w:ascii="Verdana" w:hAnsi="Verdana"/>
          <w:sz w:val="20"/>
          <w:szCs w:val="20"/>
        </w:rPr>
      </w:pPr>
      <w:r w:rsidRPr="002A12D2">
        <w:rPr>
          <w:rFonts w:ascii="Verdana" w:hAnsi="Verdana"/>
          <w:sz w:val="20"/>
          <w:szCs w:val="20"/>
        </w:rPr>
        <w:t>"</w:t>
      </w:r>
      <w:r w:rsidRPr="002A12D2">
        <w:rPr>
          <w:rFonts w:ascii="Verdana" w:hAnsi="Verdana"/>
          <w:b/>
          <w:sz w:val="20"/>
          <w:szCs w:val="20"/>
        </w:rPr>
        <w:t>Kopenhagener Kriterien</w:t>
      </w:r>
      <w:r w:rsidRPr="002A12D2">
        <w:rPr>
          <w:rFonts w:ascii="Verdana" w:hAnsi="Verdana"/>
          <w:sz w:val="20"/>
          <w:szCs w:val="20"/>
        </w:rPr>
        <w:t xml:space="preserve">": </w:t>
      </w:r>
      <w:r>
        <w:rPr>
          <w:rFonts w:ascii="Verdana" w:hAnsi="Verdana"/>
          <w:sz w:val="20"/>
          <w:szCs w:val="20"/>
        </w:rPr>
        <w:t>verbindliche Kriterien zum Beitritt neuer Staaten:</w:t>
      </w:r>
    </w:p>
    <w:p w:rsidR="002A12D2" w:rsidRDefault="002A12D2" w:rsidP="002A12D2">
      <w:pPr>
        <w:pStyle w:val="KeinLeerraum"/>
        <w:rPr>
          <w:rFonts w:ascii="Verdana" w:hAnsi="Verdana"/>
          <w:sz w:val="20"/>
          <w:szCs w:val="20"/>
        </w:rPr>
      </w:pPr>
      <w:r>
        <w:rPr>
          <w:rFonts w:ascii="Verdana" w:hAnsi="Verdana"/>
          <w:sz w:val="20"/>
          <w:szCs w:val="20"/>
        </w:rPr>
        <w:t xml:space="preserve">1. </w:t>
      </w:r>
      <w:r w:rsidRPr="002A12D2">
        <w:rPr>
          <w:rFonts w:ascii="Verdana" w:hAnsi="Verdana"/>
          <w:b/>
          <w:sz w:val="20"/>
          <w:szCs w:val="20"/>
        </w:rPr>
        <w:t>Integrationswilligkeit</w:t>
      </w:r>
      <w:r>
        <w:rPr>
          <w:rFonts w:ascii="Verdana" w:hAnsi="Verdana"/>
          <w:sz w:val="20"/>
          <w:szCs w:val="20"/>
        </w:rPr>
        <w:t>: Alle bestehenden normativen Forderungen sind umgesetzt.</w:t>
      </w:r>
      <w:r>
        <w:rPr>
          <w:rFonts w:ascii="Verdana" w:hAnsi="Verdana"/>
          <w:sz w:val="20"/>
          <w:szCs w:val="20"/>
        </w:rPr>
        <w:br/>
        <w:t xml:space="preserve">2. </w:t>
      </w:r>
      <w:r w:rsidRPr="002A12D2">
        <w:rPr>
          <w:rFonts w:ascii="Verdana" w:hAnsi="Verdana"/>
          <w:b/>
          <w:sz w:val="20"/>
          <w:szCs w:val="20"/>
        </w:rPr>
        <w:t>Stabilität der Demokratie</w:t>
      </w:r>
      <w:r>
        <w:rPr>
          <w:rFonts w:ascii="Verdana" w:hAnsi="Verdana"/>
          <w:sz w:val="20"/>
          <w:szCs w:val="20"/>
        </w:rPr>
        <w:t>: und ihrer Institutionen (Rechtsstaat, Menschenrechte, ..)</w:t>
      </w:r>
      <w:r>
        <w:rPr>
          <w:rFonts w:ascii="Verdana" w:hAnsi="Verdana"/>
          <w:sz w:val="20"/>
          <w:szCs w:val="20"/>
        </w:rPr>
        <w:br/>
        <w:t xml:space="preserve">3. </w:t>
      </w:r>
      <w:r w:rsidRPr="002A12D2">
        <w:rPr>
          <w:rFonts w:ascii="Verdana" w:hAnsi="Verdana"/>
          <w:b/>
          <w:sz w:val="20"/>
          <w:szCs w:val="20"/>
        </w:rPr>
        <w:t>Marktwirtschaft</w:t>
      </w:r>
      <w:r w:rsidR="00B450DF">
        <w:rPr>
          <w:rFonts w:ascii="Verdana" w:hAnsi="Verdana"/>
          <w:sz w:val="20"/>
          <w:szCs w:val="20"/>
        </w:rPr>
        <w:t xml:space="preserve">: funktionierend </w:t>
      </w:r>
      <w:r w:rsidR="00B450DF" w:rsidRPr="00B450DF">
        <w:rPr>
          <w:rFonts w:ascii="Verdana" w:hAnsi="Verdana"/>
          <w:sz w:val="20"/>
          <w:szCs w:val="20"/>
        </w:rPr>
        <w:sym w:font="Wingdings" w:char="F0E0"/>
      </w:r>
      <w:r w:rsidR="00B450DF">
        <w:rPr>
          <w:rFonts w:ascii="Verdana" w:hAnsi="Verdana"/>
          <w:sz w:val="20"/>
          <w:szCs w:val="20"/>
        </w:rPr>
        <w:t xml:space="preserve"> </w:t>
      </w:r>
      <w:r>
        <w:rPr>
          <w:rFonts w:ascii="Verdana" w:hAnsi="Verdana"/>
          <w:sz w:val="20"/>
          <w:szCs w:val="20"/>
        </w:rPr>
        <w:t>Wettbewer</w:t>
      </w:r>
      <w:r w:rsidR="00B450DF">
        <w:rPr>
          <w:rFonts w:ascii="Verdana" w:hAnsi="Verdana"/>
          <w:sz w:val="20"/>
          <w:szCs w:val="20"/>
        </w:rPr>
        <w:t>bsdruck im Binnenmarkt standhalten</w:t>
      </w:r>
      <w:r w:rsidR="00B450DF">
        <w:rPr>
          <w:rFonts w:ascii="Verdana" w:hAnsi="Verdana"/>
          <w:sz w:val="20"/>
          <w:szCs w:val="20"/>
        </w:rPr>
        <w:br/>
        <w:t xml:space="preserve">4. </w:t>
      </w:r>
      <w:r w:rsidR="00B450DF" w:rsidRPr="00B450DF">
        <w:rPr>
          <w:rFonts w:ascii="Verdana" w:hAnsi="Verdana"/>
          <w:b/>
          <w:sz w:val="20"/>
          <w:szCs w:val="20"/>
        </w:rPr>
        <w:t>Aufnahmefähigkeit</w:t>
      </w:r>
      <w:r w:rsidR="00B450DF">
        <w:rPr>
          <w:rFonts w:ascii="Verdana" w:hAnsi="Verdana"/>
          <w:sz w:val="20"/>
          <w:szCs w:val="20"/>
        </w:rPr>
        <w:t>: neuer Staaten in die EU.</w:t>
      </w: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r>
        <w:rPr>
          <w:rFonts w:ascii="Verdana" w:hAnsi="Verdana"/>
          <w:sz w:val="20"/>
          <w:szCs w:val="20"/>
        </w:rPr>
        <w:t>-</w:t>
      </w: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p>
    <w:p w:rsidR="002A12D2" w:rsidRDefault="002A12D2" w:rsidP="002A12D2">
      <w:pPr>
        <w:pStyle w:val="KeinLeerraum"/>
        <w:rPr>
          <w:rFonts w:ascii="Verdana" w:hAnsi="Verdana"/>
          <w:sz w:val="20"/>
          <w:szCs w:val="20"/>
        </w:rPr>
      </w:pPr>
    </w:p>
    <w:p w:rsidR="00B450DF" w:rsidRPr="00B450DF" w:rsidRDefault="00B450DF" w:rsidP="002A12D2">
      <w:pPr>
        <w:pStyle w:val="KeinLeerraum"/>
        <w:rPr>
          <w:rFonts w:ascii="Verdana" w:hAnsi="Verdana"/>
          <w:b/>
          <w:sz w:val="20"/>
          <w:szCs w:val="20"/>
          <w:u w:val="single"/>
        </w:rPr>
      </w:pPr>
      <w:r>
        <w:rPr>
          <w:rFonts w:ascii="Verdana" w:hAnsi="Verdana"/>
          <w:sz w:val="20"/>
          <w:szCs w:val="20"/>
        </w:rPr>
        <w:lastRenderedPageBreak/>
        <w:t xml:space="preserve">2. </w:t>
      </w:r>
      <w:r w:rsidRPr="00B450DF">
        <w:rPr>
          <w:rFonts w:ascii="Verdana" w:hAnsi="Verdana"/>
          <w:b/>
          <w:sz w:val="20"/>
          <w:szCs w:val="20"/>
          <w:u w:val="single"/>
        </w:rPr>
        <w:t>Was sind Institutionen?</w:t>
      </w:r>
    </w:p>
    <w:p w:rsidR="00B450DF" w:rsidRDefault="00B450DF" w:rsidP="002A12D2">
      <w:pPr>
        <w:pStyle w:val="KeinLeerraum"/>
        <w:rPr>
          <w:rFonts w:ascii="Verdana" w:hAnsi="Verdana"/>
          <w:sz w:val="20"/>
          <w:szCs w:val="20"/>
        </w:rPr>
      </w:pPr>
    </w:p>
    <w:p w:rsidR="00B450DF" w:rsidRPr="00B450DF" w:rsidRDefault="00B450DF" w:rsidP="00B450DF">
      <w:pPr>
        <w:pStyle w:val="KeinLeerraum"/>
        <w:rPr>
          <w:rFonts w:ascii="Verdana" w:hAnsi="Verdana"/>
          <w:sz w:val="20"/>
          <w:szCs w:val="20"/>
        </w:rPr>
      </w:pPr>
      <w:r w:rsidRPr="00B450DF">
        <w:rPr>
          <w:rFonts w:ascii="Verdana" w:hAnsi="Verdana"/>
          <w:b/>
          <w:sz w:val="20"/>
          <w:szCs w:val="20"/>
        </w:rPr>
        <w:t>Institutionen</w:t>
      </w:r>
      <w:r w:rsidR="00F4134E">
        <w:rPr>
          <w:rFonts w:ascii="Verdana" w:hAnsi="Verdana"/>
          <w:sz w:val="20"/>
          <w:szCs w:val="20"/>
        </w:rPr>
        <w:t xml:space="preserve">: </w:t>
      </w:r>
      <w:r w:rsidRPr="00B450DF">
        <w:rPr>
          <w:rFonts w:ascii="Verdana" w:hAnsi="Verdana"/>
          <w:sz w:val="20"/>
          <w:szCs w:val="20"/>
        </w:rPr>
        <w:t>sind Einrichtungen, die gleichartige, sich wiederholende Handlungen von Akteuren und Beziehungen zwischen den Akteuren einer Gesellschaft formen. Institutionen sollen Ordnung in alltägliche Dinge bringen und bestehende Unsicherheiten mindern.</w:t>
      </w:r>
      <w:r>
        <w:rPr>
          <w:rFonts w:ascii="Verdana" w:hAnsi="Verdana"/>
          <w:sz w:val="20"/>
          <w:szCs w:val="20"/>
        </w:rPr>
        <w:br/>
      </w:r>
      <w:r>
        <w:rPr>
          <w:rFonts w:ascii="Verdana" w:hAnsi="Verdana"/>
          <w:sz w:val="20"/>
          <w:szCs w:val="20"/>
        </w:rPr>
        <w:br/>
        <w:t xml:space="preserve">Institutionen sollen durch Kooperation und mittels Argumente, Verhandlung und Drohung </w:t>
      </w:r>
      <w:r w:rsidRPr="00B450DF">
        <w:rPr>
          <w:rFonts w:ascii="Verdana" w:hAnsi="Verdana"/>
          <w:b/>
          <w:sz w:val="20"/>
          <w:szCs w:val="20"/>
        </w:rPr>
        <w:t>Zentralisierung fördern</w:t>
      </w:r>
      <w:r>
        <w:rPr>
          <w:rFonts w:ascii="Verdana" w:hAnsi="Verdana"/>
          <w:sz w:val="20"/>
          <w:szCs w:val="20"/>
        </w:rPr>
        <w:t>.</w:t>
      </w: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r w:rsidRPr="00B450DF">
        <w:rPr>
          <w:rFonts w:ascii="Verdana" w:hAnsi="Verdana"/>
          <w:sz w:val="20"/>
          <w:szCs w:val="20"/>
        </w:rPr>
        <w:t xml:space="preserve">Sie können </w:t>
      </w:r>
      <w:r w:rsidRPr="00B450DF">
        <w:rPr>
          <w:rFonts w:ascii="Verdana" w:hAnsi="Verdana"/>
          <w:b/>
          <w:sz w:val="20"/>
          <w:szCs w:val="20"/>
        </w:rPr>
        <w:t>formgebunden</w:t>
      </w:r>
      <w:r w:rsidRPr="00B450DF">
        <w:rPr>
          <w:rFonts w:ascii="Verdana" w:hAnsi="Verdana"/>
          <w:sz w:val="20"/>
          <w:szCs w:val="20"/>
        </w:rPr>
        <w:t xml:space="preserve"> (formale Funktionsregeln) oder </w:t>
      </w:r>
      <w:r w:rsidRPr="00B450DF">
        <w:rPr>
          <w:rFonts w:ascii="Verdana" w:hAnsi="Verdana"/>
          <w:b/>
          <w:sz w:val="20"/>
          <w:szCs w:val="20"/>
        </w:rPr>
        <w:t>formungebunden</w:t>
      </w:r>
      <w:r w:rsidRPr="00B450DF">
        <w:rPr>
          <w:rFonts w:ascii="Verdana" w:hAnsi="Verdana"/>
          <w:sz w:val="20"/>
          <w:szCs w:val="20"/>
        </w:rPr>
        <w:t xml:space="preserve"> als informelle Regeln auftauchen.</w:t>
      </w:r>
      <w:r>
        <w:rPr>
          <w:rFonts w:ascii="Verdana" w:hAnsi="Verdana"/>
          <w:sz w:val="20"/>
          <w:szCs w:val="20"/>
        </w:rPr>
        <w:t xml:space="preserve"> </w:t>
      </w:r>
      <w:r w:rsidRPr="00B450DF">
        <w:rPr>
          <w:rFonts w:ascii="Verdana" w:hAnsi="Verdana"/>
          <w:b/>
          <w:sz w:val="20"/>
          <w:szCs w:val="20"/>
        </w:rPr>
        <w:t>Formale Funktionsregeln</w:t>
      </w:r>
      <w:r>
        <w:rPr>
          <w:rFonts w:ascii="Verdana" w:hAnsi="Verdana"/>
          <w:sz w:val="20"/>
          <w:szCs w:val="20"/>
        </w:rPr>
        <w:t xml:space="preserve"> legen fest:</w:t>
      </w:r>
    </w:p>
    <w:p w:rsidR="00B450DF" w:rsidRPr="00B450DF" w:rsidRDefault="00B450DF" w:rsidP="00B450DF">
      <w:pPr>
        <w:pStyle w:val="KeinLeerraum"/>
        <w:rPr>
          <w:rFonts w:ascii="Verdana" w:hAnsi="Verdana"/>
          <w:sz w:val="20"/>
          <w:szCs w:val="20"/>
        </w:rPr>
      </w:pPr>
      <w:r w:rsidRPr="00B450DF">
        <w:rPr>
          <w:rFonts w:ascii="Verdana" w:hAnsi="Verdana"/>
          <w:b/>
          <w:sz w:val="20"/>
          <w:szCs w:val="20"/>
        </w:rPr>
        <w:t>1</w:t>
      </w:r>
      <w:r>
        <w:rPr>
          <w:rFonts w:ascii="Verdana" w:hAnsi="Verdana"/>
          <w:sz w:val="20"/>
          <w:szCs w:val="20"/>
        </w:rPr>
        <w:t>. W</w:t>
      </w:r>
      <w:r w:rsidRPr="00B450DF">
        <w:rPr>
          <w:rFonts w:ascii="Verdana" w:hAnsi="Verdana"/>
          <w:sz w:val="20"/>
          <w:szCs w:val="20"/>
        </w:rPr>
        <w:t>er Entscheidungen treffen darf.</w:t>
      </w:r>
    </w:p>
    <w:p w:rsidR="00B450DF" w:rsidRPr="00B450DF" w:rsidRDefault="00B450DF" w:rsidP="00B450DF">
      <w:pPr>
        <w:pStyle w:val="KeinLeerraum"/>
        <w:rPr>
          <w:rFonts w:ascii="Verdana" w:hAnsi="Verdana"/>
          <w:sz w:val="20"/>
          <w:szCs w:val="20"/>
        </w:rPr>
      </w:pPr>
      <w:r w:rsidRPr="00B450DF">
        <w:rPr>
          <w:rFonts w:ascii="Verdana" w:hAnsi="Verdana"/>
          <w:b/>
          <w:sz w:val="20"/>
          <w:szCs w:val="20"/>
        </w:rPr>
        <w:t>2</w:t>
      </w:r>
      <w:r>
        <w:rPr>
          <w:rFonts w:ascii="Verdana" w:hAnsi="Verdana"/>
          <w:sz w:val="20"/>
          <w:szCs w:val="20"/>
        </w:rPr>
        <w:t xml:space="preserve">. </w:t>
      </w:r>
      <w:r w:rsidRPr="00B450DF">
        <w:rPr>
          <w:rFonts w:ascii="Verdana" w:hAnsi="Verdana"/>
          <w:sz w:val="20"/>
          <w:szCs w:val="20"/>
        </w:rPr>
        <w:t>Welche Handlungen erlaubt/verboten sind.</w:t>
      </w:r>
    </w:p>
    <w:p w:rsidR="00B450DF" w:rsidRPr="00B450DF" w:rsidRDefault="00B450DF" w:rsidP="00B450DF">
      <w:pPr>
        <w:pStyle w:val="KeinLeerraum"/>
        <w:rPr>
          <w:rFonts w:ascii="Verdana" w:hAnsi="Verdana"/>
          <w:sz w:val="20"/>
          <w:szCs w:val="20"/>
        </w:rPr>
      </w:pPr>
      <w:r w:rsidRPr="00B450DF">
        <w:rPr>
          <w:rFonts w:ascii="Verdana" w:hAnsi="Verdana"/>
          <w:b/>
          <w:sz w:val="20"/>
          <w:szCs w:val="20"/>
        </w:rPr>
        <w:t>3</w:t>
      </w:r>
      <w:r>
        <w:rPr>
          <w:rFonts w:ascii="Verdana" w:hAnsi="Verdana"/>
          <w:sz w:val="20"/>
          <w:szCs w:val="20"/>
        </w:rPr>
        <w:t xml:space="preserve">. </w:t>
      </w:r>
      <w:r w:rsidRPr="00B450DF">
        <w:rPr>
          <w:rFonts w:ascii="Verdana" w:hAnsi="Verdana"/>
          <w:sz w:val="20"/>
          <w:szCs w:val="20"/>
        </w:rPr>
        <w:t>Welche Handlungen eingesetzt werden müssen.</w:t>
      </w:r>
    </w:p>
    <w:p w:rsidR="00B450DF" w:rsidRPr="00B450DF" w:rsidRDefault="00B450DF" w:rsidP="00B450DF">
      <w:pPr>
        <w:pStyle w:val="KeinLeerraum"/>
        <w:rPr>
          <w:rFonts w:ascii="Verdana" w:hAnsi="Verdana"/>
          <w:sz w:val="20"/>
          <w:szCs w:val="20"/>
        </w:rPr>
      </w:pPr>
      <w:r w:rsidRPr="00B450DF">
        <w:rPr>
          <w:rFonts w:ascii="Verdana" w:hAnsi="Verdana"/>
          <w:b/>
          <w:sz w:val="20"/>
          <w:szCs w:val="20"/>
        </w:rPr>
        <w:t>4</w:t>
      </w:r>
      <w:r>
        <w:rPr>
          <w:rFonts w:ascii="Verdana" w:hAnsi="Verdana"/>
          <w:sz w:val="20"/>
          <w:szCs w:val="20"/>
        </w:rPr>
        <w:t xml:space="preserve">. </w:t>
      </w:r>
      <w:r w:rsidRPr="00B450DF">
        <w:rPr>
          <w:rFonts w:ascii="Verdana" w:hAnsi="Verdana"/>
          <w:sz w:val="20"/>
          <w:szCs w:val="20"/>
        </w:rPr>
        <w:t>Welche Informationen geliefert/nicht geliefert werden müssen.</w:t>
      </w:r>
    </w:p>
    <w:p w:rsidR="00B450DF" w:rsidRPr="00B450DF" w:rsidRDefault="00B450DF" w:rsidP="00B450DF">
      <w:pPr>
        <w:pStyle w:val="KeinLeerraum"/>
        <w:rPr>
          <w:rFonts w:ascii="Verdana" w:hAnsi="Verdana"/>
          <w:sz w:val="20"/>
          <w:szCs w:val="20"/>
        </w:rPr>
      </w:pPr>
      <w:r w:rsidRPr="00B450DF">
        <w:rPr>
          <w:rFonts w:ascii="Verdana" w:hAnsi="Verdana"/>
          <w:b/>
          <w:sz w:val="20"/>
          <w:szCs w:val="20"/>
        </w:rPr>
        <w:t>5</w:t>
      </w:r>
      <w:r>
        <w:rPr>
          <w:rFonts w:ascii="Verdana" w:hAnsi="Verdana"/>
          <w:sz w:val="20"/>
          <w:szCs w:val="20"/>
        </w:rPr>
        <w:t xml:space="preserve">. </w:t>
      </w:r>
      <w:r w:rsidRPr="00B450DF">
        <w:rPr>
          <w:rFonts w:ascii="Verdana" w:hAnsi="Verdana"/>
          <w:sz w:val="20"/>
          <w:szCs w:val="20"/>
        </w:rPr>
        <w:t>Welche Entgelte den Akteuren entsprechend ihren Handlungen zugebilligt werden können.</w:t>
      </w:r>
    </w:p>
    <w:p w:rsidR="00B450DF" w:rsidRDefault="00B450DF" w:rsidP="00B450DF">
      <w:pPr>
        <w:pStyle w:val="KeinLeerraum"/>
        <w:rPr>
          <w:rFonts w:ascii="Verdana" w:hAnsi="Verdana"/>
          <w:sz w:val="20"/>
          <w:szCs w:val="20"/>
        </w:rPr>
      </w:pPr>
      <w:r>
        <w:rPr>
          <w:rFonts w:ascii="Verdana" w:hAnsi="Verdana"/>
          <w:sz w:val="20"/>
          <w:szCs w:val="20"/>
        </w:rPr>
        <w:br/>
      </w:r>
      <w:r w:rsidRPr="00B450DF">
        <w:rPr>
          <w:rFonts w:ascii="Verdana" w:hAnsi="Verdana"/>
          <w:b/>
          <w:sz w:val="20"/>
          <w:szCs w:val="20"/>
        </w:rPr>
        <w:t>Arten von Institutionen</w:t>
      </w:r>
      <w:r>
        <w:rPr>
          <w:rFonts w:ascii="Verdana" w:hAnsi="Verdana"/>
          <w:sz w:val="20"/>
          <w:szCs w:val="20"/>
        </w:rPr>
        <w:t>:</w:t>
      </w:r>
      <w:r>
        <w:rPr>
          <w:rFonts w:ascii="Verdana" w:hAnsi="Verdana"/>
          <w:sz w:val="20"/>
          <w:szCs w:val="20"/>
        </w:rPr>
        <w:br/>
      </w:r>
      <w:r w:rsidRPr="00B450DF">
        <w:rPr>
          <w:rFonts w:ascii="Verdana" w:hAnsi="Verdana"/>
          <w:b/>
          <w:sz w:val="20"/>
          <w:szCs w:val="20"/>
        </w:rPr>
        <w:t>a)</w:t>
      </w:r>
      <w:r>
        <w:rPr>
          <w:rFonts w:ascii="Verdana" w:hAnsi="Verdana"/>
          <w:sz w:val="20"/>
          <w:szCs w:val="20"/>
        </w:rPr>
        <w:t xml:space="preserve"> Verhaltensregeln: Normen, Traditionen, Gesetze</w:t>
      </w:r>
      <w:r>
        <w:rPr>
          <w:rFonts w:ascii="Verdana" w:hAnsi="Verdana"/>
          <w:sz w:val="20"/>
          <w:szCs w:val="20"/>
        </w:rPr>
        <w:br/>
      </w:r>
      <w:r w:rsidRPr="00B450DF">
        <w:rPr>
          <w:rFonts w:ascii="Verdana" w:hAnsi="Verdana"/>
          <w:b/>
          <w:sz w:val="20"/>
          <w:szCs w:val="20"/>
        </w:rPr>
        <w:t>b)</w:t>
      </w:r>
      <w:r>
        <w:rPr>
          <w:rFonts w:ascii="Verdana" w:hAnsi="Verdana"/>
          <w:sz w:val="20"/>
          <w:szCs w:val="20"/>
        </w:rPr>
        <w:t xml:space="preserve"> Entscheidungssysteme: Preissysteme, Hierarchien, Demokratie</w:t>
      </w:r>
      <w:r>
        <w:rPr>
          <w:rFonts w:ascii="Verdana" w:hAnsi="Verdana"/>
          <w:sz w:val="20"/>
          <w:szCs w:val="20"/>
        </w:rPr>
        <w:br/>
      </w:r>
      <w:r w:rsidRPr="00B450DF">
        <w:rPr>
          <w:rFonts w:ascii="Verdana" w:hAnsi="Verdana"/>
          <w:b/>
          <w:sz w:val="20"/>
          <w:szCs w:val="20"/>
        </w:rPr>
        <w:t>c)</w:t>
      </w:r>
      <w:r>
        <w:rPr>
          <w:rFonts w:ascii="Verdana" w:hAnsi="Verdana"/>
          <w:sz w:val="20"/>
          <w:szCs w:val="20"/>
        </w:rPr>
        <w:t xml:space="preserve"> Organisation personeller Natur: Verbände, private Clubs, Familie</w:t>
      </w:r>
    </w:p>
    <w:p w:rsidR="00B450DF" w:rsidRDefault="00B450DF" w:rsidP="00B450DF">
      <w:pPr>
        <w:pStyle w:val="KeinLeerraum"/>
        <w:rPr>
          <w:rFonts w:ascii="Verdana" w:hAnsi="Verdana"/>
          <w:sz w:val="20"/>
          <w:szCs w:val="20"/>
        </w:rPr>
      </w:pPr>
    </w:p>
    <w:p w:rsidR="00B450DF" w:rsidRDefault="00B450DF" w:rsidP="00B450DF">
      <w:pPr>
        <w:pStyle w:val="KeinLeerraum"/>
        <w:rPr>
          <w:rFonts w:ascii="Verdana" w:hAnsi="Verdana"/>
          <w:sz w:val="20"/>
          <w:szCs w:val="20"/>
        </w:rPr>
      </w:pPr>
      <w:r>
        <w:rPr>
          <w:rFonts w:ascii="Verdana" w:hAnsi="Verdana"/>
          <w:sz w:val="20"/>
          <w:szCs w:val="20"/>
        </w:rPr>
        <w:t xml:space="preserve">2.1. </w:t>
      </w:r>
      <w:r w:rsidRPr="00B450DF">
        <w:rPr>
          <w:rFonts w:ascii="Verdana" w:hAnsi="Verdana"/>
          <w:b/>
          <w:sz w:val="20"/>
          <w:szCs w:val="20"/>
          <w:u w:val="single"/>
        </w:rPr>
        <w:t>Leitthesen</w:t>
      </w:r>
      <w:r w:rsidR="007D17F3" w:rsidRPr="007D17F3">
        <w:rPr>
          <w:rFonts w:ascii="Verdana" w:hAnsi="Verdana"/>
          <w:sz w:val="20"/>
          <w:szCs w:val="20"/>
        </w:rPr>
        <w:t>:</w:t>
      </w:r>
    </w:p>
    <w:p w:rsidR="00B450DF" w:rsidRPr="00B450DF" w:rsidRDefault="00A0276D" w:rsidP="00B450DF">
      <w:pPr>
        <w:pStyle w:val="KeinLeerraum"/>
        <w:rPr>
          <w:rFonts w:ascii="Verdana" w:hAnsi="Verdana"/>
          <w:sz w:val="20"/>
          <w:szCs w:val="20"/>
        </w:rPr>
      </w:pPr>
      <w:r>
        <w:rPr>
          <w:rFonts w:ascii="Verdana" w:hAnsi="Verdana"/>
          <w:sz w:val="20"/>
          <w:szCs w:val="20"/>
        </w:rPr>
        <w:t xml:space="preserve">Institutionen erklären u.a. Transaktionskosten und ermöglichen Kooperation </w:t>
      </w:r>
      <w:proofErr w:type="spellStart"/>
      <w:r>
        <w:rPr>
          <w:rFonts w:ascii="Verdana" w:hAnsi="Verdana"/>
          <w:sz w:val="20"/>
          <w:szCs w:val="20"/>
        </w:rPr>
        <w:t>zT</w:t>
      </w:r>
      <w:proofErr w:type="spellEnd"/>
      <w:r>
        <w:rPr>
          <w:rFonts w:ascii="Verdana" w:hAnsi="Verdana"/>
          <w:sz w:val="20"/>
          <w:szCs w:val="20"/>
        </w:rPr>
        <w:t xml:space="preserve"> erst. Durch Institutionen (</w:t>
      </w:r>
      <w:proofErr w:type="spellStart"/>
      <w:r>
        <w:rPr>
          <w:rFonts w:ascii="Verdana" w:hAnsi="Verdana"/>
          <w:sz w:val="20"/>
          <w:szCs w:val="20"/>
        </w:rPr>
        <w:t>zB</w:t>
      </w:r>
      <w:proofErr w:type="spellEnd"/>
      <w:r>
        <w:rPr>
          <w:rFonts w:ascii="Verdana" w:hAnsi="Verdana"/>
          <w:sz w:val="20"/>
          <w:szCs w:val="20"/>
        </w:rPr>
        <w:t xml:space="preserve"> </w:t>
      </w:r>
      <w:r w:rsidRPr="00A0276D">
        <w:rPr>
          <w:rFonts w:ascii="Verdana" w:hAnsi="Verdana"/>
          <w:b/>
          <w:sz w:val="20"/>
          <w:szCs w:val="20"/>
        </w:rPr>
        <w:t>Unionsvertrag</w:t>
      </w:r>
      <w:r>
        <w:rPr>
          <w:rFonts w:ascii="Verdana" w:hAnsi="Verdana"/>
          <w:sz w:val="20"/>
          <w:szCs w:val="20"/>
        </w:rPr>
        <w:t>) können Akteure zu kooperativen Ergebnissen im Sinne des Gefangenendilemmas gezwungen werden. Jedoch ist Pareto-Optimalität nicht gleich Gerechtigkeit.</w:t>
      </w:r>
    </w:p>
    <w:p w:rsidR="00B450DF" w:rsidRDefault="00B450DF" w:rsidP="002A12D2">
      <w:pPr>
        <w:pStyle w:val="KeinLeerraum"/>
        <w:rPr>
          <w:rFonts w:ascii="Verdana" w:hAnsi="Verdana"/>
          <w:sz w:val="20"/>
          <w:szCs w:val="20"/>
        </w:rPr>
      </w:pPr>
    </w:p>
    <w:p w:rsidR="00B450DF" w:rsidRDefault="00B450DF" w:rsidP="002A12D2">
      <w:pPr>
        <w:pStyle w:val="KeinLeerraum"/>
        <w:rPr>
          <w:rFonts w:ascii="Verdana" w:hAnsi="Verdana"/>
          <w:sz w:val="20"/>
          <w:szCs w:val="20"/>
        </w:rPr>
      </w:pPr>
    </w:p>
    <w:p w:rsidR="00A0276D" w:rsidRDefault="00A0276D" w:rsidP="002A12D2">
      <w:pPr>
        <w:pStyle w:val="KeinLeerraum"/>
        <w:rPr>
          <w:b/>
          <w:bCs/>
          <w:i/>
        </w:rPr>
      </w:pPr>
      <w:r>
        <w:rPr>
          <w:b/>
          <w:bCs/>
          <w:i/>
        </w:rPr>
        <w:t>-</w:t>
      </w:r>
    </w:p>
    <w:p w:rsidR="00A0276D" w:rsidRDefault="00A0276D" w:rsidP="002A12D2">
      <w:pPr>
        <w:pStyle w:val="KeinLeerraum"/>
        <w:rPr>
          <w:b/>
          <w:bCs/>
          <w:i/>
        </w:rPr>
      </w:pPr>
    </w:p>
    <w:p w:rsidR="002A12D2" w:rsidRPr="007D17F3" w:rsidRDefault="00A0276D" w:rsidP="002A12D2">
      <w:pPr>
        <w:pStyle w:val="KeinLeerraum"/>
        <w:rPr>
          <w:rFonts w:ascii="Verdana" w:hAnsi="Verdana"/>
          <w:sz w:val="20"/>
          <w:szCs w:val="20"/>
          <w:u w:val="single"/>
        </w:rPr>
      </w:pPr>
      <w:r w:rsidRPr="007D17F3">
        <w:rPr>
          <w:rFonts w:ascii="Verdana" w:hAnsi="Verdana"/>
          <w:bCs/>
          <w:sz w:val="20"/>
          <w:szCs w:val="20"/>
        </w:rPr>
        <w:t>3.</w:t>
      </w:r>
      <w:r w:rsidRPr="00A0276D">
        <w:rPr>
          <w:rFonts w:ascii="Verdana" w:hAnsi="Verdana"/>
          <w:b/>
          <w:bCs/>
          <w:sz w:val="20"/>
          <w:szCs w:val="20"/>
        </w:rPr>
        <w:t xml:space="preserve"> </w:t>
      </w:r>
      <w:r w:rsidRPr="007D17F3">
        <w:rPr>
          <w:rFonts w:ascii="Verdana" w:hAnsi="Verdana"/>
          <w:b/>
          <w:bCs/>
          <w:sz w:val="20"/>
          <w:szCs w:val="20"/>
          <w:u w:val="single"/>
        </w:rPr>
        <w:t>Supranationales Prinzip der faktischen Gewaltenteilung</w:t>
      </w:r>
    </w:p>
    <w:p w:rsidR="007D17F3" w:rsidRDefault="00A0276D" w:rsidP="007D17F3">
      <w:pPr>
        <w:pStyle w:val="KeinLeerraum"/>
        <w:rPr>
          <w:rFonts w:ascii="Verdana" w:hAnsi="Verdana"/>
          <w:sz w:val="20"/>
          <w:szCs w:val="20"/>
        </w:rPr>
      </w:pPr>
      <w:r w:rsidRPr="00F4134E">
        <w:rPr>
          <w:rFonts w:ascii="Verdana" w:hAnsi="Verdana"/>
          <w:sz w:val="20"/>
          <w:szCs w:val="20"/>
        </w:rPr>
        <w:t xml:space="preserve">Nach Maßgabe des </w:t>
      </w:r>
      <w:r w:rsidR="007D17F3" w:rsidRPr="00F4134E">
        <w:rPr>
          <w:rFonts w:ascii="Verdana" w:hAnsi="Verdana"/>
          <w:sz w:val="20"/>
          <w:szCs w:val="20"/>
        </w:rPr>
        <w:t>methodologischen Nationalismus:</w:t>
      </w:r>
      <w:r w:rsidR="007D17F3">
        <w:br/>
      </w:r>
      <w:r w:rsidR="007D17F3" w:rsidRPr="007D17F3">
        <w:rPr>
          <w:rFonts w:ascii="Verdana" w:hAnsi="Verdana"/>
          <w:sz w:val="20"/>
          <w:szCs w:val="20"/>
        </w:rPr>
        <w:t xml:space="preserve">Unter </w:t>
      </w:r>
      <w:r w:rsidR="007D17F3" w:rsidRPr="007D17F3">
        <w:rPr>
          <w:rFonts w:ascii="Verdana" w:hAnsi="Verdana"/>
          <w:i/>
          <w:sz w:val="20"/>
          <w:szCs w:val="20"/>
        </w:rPr>
        <w:t>theoretischen</w:t>
      </w:r>
      <w:r w:rsidR="007D17F3" w:rsidRPr="007D17F3">
        <w:rPr>
          <w:rFonts w:ascii="Verdana" w:hAnsi="Verdana"/>
          <w:sz w:val="20"/>
          <w:szCs w:val="20"/>
        </w:rPr>
        <w:t xml:space="preserve"> Voraussetzungen gilt: „Das Institutionensystem der EU besteht erstens aus ihren Gremien und Organen, zweitens aus den Spielregeln für die Interaktion der Mitglieder in diesem Gremien sowie drittens aus den Regeln des Zusammenwirkens der Organe untereinander und viertens mit solchen auf der Ebene der Mitgliedstaaten. Das so entstehende komplexe Institutionengefüge wird… auch als Unionsordnung oder als </w:t>
      </w:r>
      <w:proofErr w:type="spellStart"/>
      <w:r w:rsidR="007D17F3" w:rsidRPr="007D17F3">
        <w:rPr>
          <w:rFonts w:ascii="Verdana" w:hAnsi="Verdana"/>
          <w:sz w:val="20"/>
          <w:szCs w:val="20"/>
        </w:rPr>
        <w:t>Governance</w:t>
      </w:r>
      <w:proofErr w:type="spellEnd"/>
      <w:r w:rsidR="007D17F3" w:rsidRPr="007D17F3">
        <w:rPr>
          <w:rFonts w:ascii="Verdana" w:hAnsi="Verdana"/>
          <w:sz w:val="20"/>
          <w:szCs w:val="20"/>
        </w:rPr>
        <w:t>-System der EU bezeichnet</w:t>
      </w:r>
      <w:r w:rsidR="007D17F3" w:rsidRPr="007D17F3">
        <w:rPr>
          <w:rFonts w:ascii="Verdana" w:hAnsi="Verdana"/>
          <w:bCs/>
          <w:sz w:val="20"/>
          <w:szCs w:val="20"/>
        </w:rPr>
        <w:t>.“</w:t>
      </w:r>
      <w:r w:rsidR="007D17F3" w:rsidRPr="007D17F3">
        <w:rPr>
          <w:rFonts w:ascii="Verdana" w:hAnsi="Verdana"/>
          <w:bCs/>
          <w:sz w:val="20"/>
          <w:szCs w:val="20"/>
        </w:rPr>
        <w:br/>
      </w:r>
      <w:r w:rsidR="007D17F3" w:rsidRPr="007D17F3">
        <w:rPr>
          <w:rFonts w:ascii="Verdana" w:hAnsi="Verdana"/>
          <w:bCs/>
          <w:sz w:val="20"/>
          <w:szCs w:val="20"/>
        </w:rPr>
        <w:br/>
      </w:r>
      <w:r w:rsidR="007D17F3" w:rsidRPr="007D17F3">
        <w:rPr>
          <w:rFonts w:ascii="Verdana" w:hAnsi="Verdana"/>
          <w:sz w:val="20"/>
          <w:szCs w:val="20"/>
        </w:rPr>
        <w:t xml:space="preserve">Auf der gemeinschaftlichen Ebene werden Institutionen als </w:t>
      </w:r>
      <w:r w:rsidR="007D17F3" w:rsidRPr="007D17F3">
        <w:rPr>
          <w:rFonts w:ascii="Verdana" w:hAnsi="Verdana"/>
          <w:b/>
          <w:sz w:val="20"/>
          <w:szCs w:val="20"/>
        </w:rPr>
        <w:t>Organe</w:t>
      </w:r>
      <w:r w:rsidR="007D17F3" w:rsidRPr="007D17F3">
        <w:rPr>
          <w:rFonts w:ascii="Verdana" w:hAnsi="Verdana"/>
          <w:sz w:val="20"/>
          <w:szCs w:val="20"/>
        </w:rPr>
        <w:t xml:space="preserve"> definiert, die verbindliche Rechtsakte setzen können. Einer Institution ist das nicht möglich.</w:t>
      </w:r>
    </w:p>
    <w:p w:rsidR="007D17F3" w:rsidRDefault="007D17F3" w:rsidP="007D17F3">
      <w:pPr>
        <w:pStyle w:val="KeinLeerraum"/>
        <w:rPr>
          <w:rFonts w:ascii="Verdana" w:hAnsi="Verdana"/>
          <w:sz w:val="20"/>
          <w:szCs w:val="20"/>
        </w:rPr>
      </w:pPr>
    </w:p>
    <w:p w:rsidR="007D17F3" w:rsidRDefault="007D17F3" w:rsidP="007D17F3">
      <w:pPr>
        <w:pStyle w:val="KeinLeerraum"/>
        <w:rPr>
          <w:rFonts w:ascii="Verdana" w:hAnsi="Verdana"/>
          <w:sz w:val="20"/>
          <w:szCs w:val="20"/>
        </w:rPr>
      </w:pPr>
      <w:r>
        <w:rPr>
          <w:rFonts w:ascii="Verdana" w:hAnsi="Verdana"/>
          <w:sz w:val="20"/>
          <w:szCs w:val="20"/>
        </w:rPr>
        <w:t>-</w:t>
      </w:r>
    </w:p>
    <w:p w:rsidR="007D17F3" w:rsidRPr="007D17F3" w:rsidRDefault="007D17F3" w:rsidP="007D17F3">
      <w:pPr>
        <w:pStyle w:val="KeinLeerraum"/>
        <w:rPr>
          <w:rFonts w:ascii="Verdana" w:hAnsi="Verdana"/>
          <w:b/>
          <w:sz w:val="20"/>
          <w:szCs w:val="20"/>
        </w:rPr>
      </w:pPr>
    </w:p>
    <w:p w:rsidR="007D17F3" w:rsidRDefault="007D17F3">
      <w:pPr>
        <w:rPr>
          <w:rFonts w:ascii="Verdana" w:hAnsi="Verdana"/>
          <w:sz w:val="20"/>
          <w:szCs w:val="20"/>
        </w:rPr>
      </w:pPr>
      <w:r w:rsidRPr="007D17F3">
        <w:rPr>
          <w:rFonts w:ascii="Verdana" w:hAnsi="Verdana"/>
          <w:sz w:val="20"/>
          <w:szCs w:val="20"/>
        </w:rPr>
        <w:t>3.1.</w:t>
      </w:r>
      <w:r>
        <w:rPr>
          <w:rFonts w:ascii="Verdana" w:hAnsi="Verdana"/>
          <w:sz w:val="20"/>
          <w:szCs w:val="20"/>
        </w:rPr>
        <w:t xml:space="preserve"> </w:t>
      </w:r>
      <w:r w:rsidRPr="007D17F3">
        <w:rPr>
          <w:rFonts w:ascii="Verdana" w:hAnsi="Verdana"/>
          <w:b/>
          <w:sz w:val="20"/>
          <w:szCs w:val="20"/>
          <w:u w:val="single"/>
        </w:rPr>
        <w:t>Supranationale Legislative</w:t>
      </w:r>
      <w:r>
        <w:rPr>
          <w:rFonts w:ascii="Verdana" w:hAnsi="Verdana"/>
          <w:sz w:val="20"/>
          <w:szCs w:val="20"/>
        </w:rPr>
        <w:t>:</w:t>
      </w:r>
    </w:p>
    <w:p w:rsidR="007D17F3" w:rsidRPr="00305FDA" w:rsidRDefault="007D17F3">
      <w:pPr>
        <w:rPr>
          <w:rFonts w:ascii="Verdana" w:hAnsi="Verdana"/>
          <w:sz w:val="20"/>
          <w:szCs w:val="20"/>
        </w:rPr>
      </w:pPr>
      <w:r>
        <w:rPr>
          <w:rFonts w:ascii="Verdana" w:hAnsi="Verdana"/>
          <w:sz w:val="20"/>
          <w:szCs w:val="20"/>
        </w:rPr>
        <w:t xml:space="preserve">a. </w:t>
      </w:r>
      <w:r w:rsidR="00F4134E">
        <w:rPr>
          <w:rFonts w:ascii="Verdana" w:hAnsi="Verdana"/>
          <w:b/>
          <w:sz w:val="20"/>
          <w:szCs w:val="20"/>
        </w:rPr>
        <w:t>Europäischer Rat (ER)</w:t>
      </w:r>
      <w:r>
        <w:rPr>
          <w:rFonts w:ascii="Verdana" w:hAnsi="Verdana"/>
          <w:sz w:val="20"/>
          <w:szCs w:val="20"/>
        </w:rPr>
        <w:br/>
      </w:r>
      <w:r w:rsidRPr="00305FDA">
        <w:rPr>
          <w:rFonts w:ascii="Verdana" w:hAnsi="Verdana"/>
          <w:bCs/>
          <w:sz w:val="20"/>
          <w:szCs w:val="20"/>
        </w:rPr>
        <w:t xml:space="preserve">Er </w:t>
      </w:r>
      <w:r w:rsidRPr="00305FDA">
        <w:rPr>
          <w:rFonts w:ascii="Verdana" w:hAnsi="Verdana"/>
          <w:sz w:val="20"/>
          <w:szCs w:val="20"/>
        </w:rPr>
        <w:t xml:space="preserve">setzt sich aus diesen </w:t>
      </w:r>
      <w:r w:rsidRPr="00C047AC">
        <w:rPr>
          <w:rFonts w:ascii="Verdana" w:hAnsi="Verdana"/>
          <w:sz w:val="20"/>
          <w:szCs w:val="20"/>
        </w:rPr>
        <w:t>Regierungs- und Staatschefs</w:t>
      </w:r>
      <w:r w:rsidRPr="00305FDA">
        <w:rPr>
          <w:rFonts w:ascii="Verdana" w:hAnsi="Verdana"/>
          <w:sz w:val="20"/>
          <w:szCs w:val="20"/>
        </w:rPr>
        <w:t xml:space="preserve"> zusammen und dem Präsidenten der Europäischen Kommission. Halbjährliche Zusammenkunft. Legt allgemeine </w:t>
      </w:r>
      <w:r w:rsidRPr="00C047AC">
        <w:rPr>
          <w:rFonts w:ascii="Verdana" w:hAnsi="Verdana"/>
          <w:b/>
          <w:sz w:val="20"/>
          <w:szCs w:val="20"/>
        </w:rPr>
        <w:t>politische Zielvorstellungen und Grundsätze</w:t>
      </w:r>
      <w:r w:rsidRPr="00305FDA">
        <w:rPr>
          <w:rFonts w:ascii="Verdana" w:hAnsi="Verdana"/>
          <w:sz w:val="20"/>
          <w:szCs w:val="20"/>
        </w:rPr>
        <w:t xml:space="preserve"> fest, setzt sich erwartungsgemäß für Wahrung der nationalen Identität ein.</w:t>
      </w:r>
    </w:p>
    <w:p w:rsidR="007D17F3" w:rsidRPr="00305FDA" w:rsidRDefault="007D17F3">
      <w:pPr>
        <w:rPr>
          <w:rFonts w:ascii="Verdana" w:hAnsi="Verdana"/>
          <w:sz w:val="20"/>
          <w:szCs w:val="20"/>
        </w:rPr>
      </w:pPr>
      <w:r w:rsidRPr="00305FDA">
        <w:rPr>
          <w:rFonts w:ascii="Verdana" w:hAnsi="Verdana"/>
          <w:sz w:val="20"/>
          <w:szCs w:val="20"/>
        </w:rPr>
        <w:t xml:space="preserve">Der ER ist </w:t>
      </w:r>
      <w:r w:rsidRPr="00F4134E">
        <w:rPr>
          <w:rFonts w:ascii="Verdana" w:hAnsi="Verdana"/>
          <w:b/>
          <w:sz w:val="20"/>
          <w:szCs w:val="20"/>
        </w:rPr>
        <w:t>kein Organ</w:t>
      </w:r>
      <w:r w:rsidRPr="00305FDA">
        <w:rPr>
          <w:rFonts w:ascii="Verdana" w:hAnsi="Verdana"/>
          <w:sz w:val="20"/>
          <w:szCs w:val="20"/>
        </w:rPr>
        <w:t>, da er keine Gesetze erlas</w:t>
      </w:r>
      <w:r w:rsidR="00BB78B1" w:rsidRPr="00305FDA">
        <w:rPr>
          <w:rFonts w:ascii="Verdana" w:hAnsi="Verdana"/>
          <w:sz w:val="20"/>
          <w:szCs w:val="20"/>
        </w:rPr>
        <w:t>sen kann, trotzdem die zentrale Institutionen zur Gestaltung der Integration.</w:t>
      </w:r>
    </w:p>
    <w:p w:rsidR="00BB78B1" w:rsidRPr="00305FDA" w:rsidRDefault="00BB78B1" w:rsidP="00C047AC">
      <w:pPr>
        <w:rPr>
          <w:rFonts w:ascii="Verdana" w:hAnsi="Verdana"/>
          <w:sz w:val="20"/>
          <w:szCs w:val="20"/>
        </w:rPr>
      </w:pPr>
      <w:r w:rsidRPr="00305FDA">
        <w:rPr>
          <w:rFonts w:ascii="Verdana" w:hAnsi="Verdana"/>
          <w:sz w:val="20"/>
          <w:szCs w:val="20"/>
        </w:rPr>
        <w:lastRenderedPageBreak/>
        <w:t xml:space="preserve">b. </w:t>
      </w:r>
      <w:r w:rsidRPr="00305FDA">
        <w:rPr>
          <w:rFonts w:ascii="Verdana" w:hAnsi="Verdana"/>
          <w:b/>
          <w:sz w:val="20"/>
          <w:szCs w:val="20"/>
        </w:rPr>
        <w:t>Rat der Europäischen Union (Ministerrat oder Rat)</w:t>
      </w:r>
      <w:r w:rsidRPr="00305FDA">
        <w:rPr>
          <w:rFonts w:ascii="Verdana" w:hAnsi="Verdana"/>
          <w:b/>
          <w:sz w:val="20"/>
          <w:szCs w:val="20"/>
        </w:rPr>
        <w:br/>
      </w:r>
      <w:r w:rsidRPr="00305FDA">
        <w:rPr>
          <w:rFonts w:ascii="Verdana" w:hAnsi="Verdana"/>
          <w:sz w:val="20"/>
          <w:szCs w:val="20"/>
        </w:rPr>
        <w:t>Jeder Mitgliedsstaat stellt einen Minister (Außenminister, Agrarminister, etc.).</w:t>
      </w:r>
      <w:r w:rsidRPr="00305FDA">
        <w:rPr>
          <w:rFonts w:ascii="Verdana" w:hAnsi="Verdana"/>
          <w:sz w:val="20"/>
          <w:szCs w:val="20"/>
        </w:rPr>
        <w:br/>
        <w:t xml:space="preserve">Aufgabe: Konsensbildung der Mitglieder, </w:t>
      </w:r>
      <w:r w:rsidRPr="00C047AC">
        <w:rPr>
          <w:rFonts w:ascii="Verdana" w:hAnsi="Verdana"/>
          <w:b/>
          <w:sz w:val="20"/>
          <w:szCs w:val="20"/>
        </w:rPr>
        <w:t>Hauptentscheidungsorgan der EU</w:t>
      </w:r>
      <w:r w:rsidRPr="00305FDA">
        <w:rPr>
          <w:rFonts w:ascii="Verdana" w:hAnsi="Verdana"/>
          <w:sz w:val="20"/>
          <w:szCs w:val="20"/>
        </w:rPr>
        <w:t>, zuständig für Verteilung.</w:t>
      </w:r>
      <w:r w:rsidRPr="00305FDA">
        <w:rPr>
          <w:rFonts w:ascii="Verdana" w:hAnsi="Verdana"/>
          <w:sz w:val="20"/>
          <w:szCs w:val="20"/>
        </w:rPr>
        <w:br/>
        <w:t>Beim Gesetzgebungsverfahren gilt nach dem Vertrag von Lissabon das Prinzip der doppelten Mehrheit: a) 55% der Mitgliedstaaten und b) mindestens 65% der EU-Bevölkerung müssen repräsentiert sein. Grund der Änderung war die relative Bevorzugung kleiner Staaten durch die überproportionale Stimmverteilung (Vergleich Luxemburg und Deutschland).</w:t>
      </w:r>
    </w:p>
    <w:p w:rsidR="00BB78B1" w:rsidRDefault="00BB78B1" w:rsidP="00305FDA">
      <w:pPr>
        <w:pStyle w:val="KeinLeerraum"/>
        <w:rPr>
          <w:rFonts w:ascii="Verdana" w:hAnsi="Verdana"/>
          <w:sz w:val="20"/>
          <w:szCs w:val="20"/>
        </w:rPr>
      </w:pPr>
      <w:r w:rsidRPr="00305FDA">
        <w:rPr>
          <w:rFonts w:ascii="Verdana" w:hAnsi="Verdana"/>
          <w:sz w:val="20"/>
          <w:szCs w:val="20"/>
        </w:rPr>
        <w:t xml:space="preserve">Nationale Parlamente haben auf Entscheidungen im Ministerrat so gut wie keinen Einfluss mehr, sie werden im Grunde nur noch zur Ratifizierung benötigt. Eine Ablehnung von EU-Akten führt notwendig zur Klage beim EuGH, Mitgliedstaaten haben ihrer </w:t>
      </w:r>
      <w:proofErr w:type="spellStart"/>
      <w:r w:rsidRPr="00305FDA">
        <w:rPr>
          <w:rFonts w:ascii="Verdana" w:hAnsi="Verdana"/>
          <w:i/>
          <w:sz w:val="20"/>
          <w:szCs w:val="20"/>
        </w:rPr>
        <w:t>Rechtstreuererklärung</w:t>
      </w:r>
      <w:proofErr w:type="spellEnd"/>
      <w:r w:rsidRPr="00305FDA">
        <w:rPr>
          <w:rFonts w:ascii="Verdana" w:hAnsi="Verdana"/>
          <w:sz w:val="20"/>
          <w:szCs w:val="20"/>
        </w:rPr>
        <w:t xml:space="preserve"> (AEUV) zu folgen. Gewaltiges Demokratieproblem, da die nationale Exekutive auf der europäischen Ebene zur Legislative mutiert.</w:t>
      </w:r>
    </w:p>
    <w:p w:rsidR="00305FDA" w:rsidRPr="00305FDA" w:rsidRDefault="00305FDA" w:rsidP="00305FDA">
      <w:pPr>
        <w:pStyle w:val="KeinLeerraum"/>
        <w:rPr>
          <w:rFonts w:ascii="Verdana" w:hAnsi="Verdana"/>
          <w:sz w:val="20"/>
          <w:szCs w:val="20"/>
        </w:rPr>
      </w:pPr>
    </w:p>
    <w:p w:rsidR="00BB78B1" w:rsidRPr="00C047AC" w:rsidRDefault="00305FDA" w:rsidP="00305FDA">
      <w:pPr>
        <w:pStyle w:val="KeinLeerraum"/>
        <w:rPr>
          <w:rFonts w:ascii="Verdana" w:hAnsi="Verdana"/>
          <w:sz w:val="20"/>
          <w:szCs w:val="20"/>
        </w:rPr>
      </w:pPr>
      <w:r w:rsidRPr="00C047AC">
        <w:rPr>
          <w:rFonts w:ascii="Verdana" w:hAnsi="Verdana"/>
          <w:b/>
          <w:sz w:val="20"/>
          <w:szCs w:val="20"/>
        </w:rPr>
        <w:t>Europäische Auswärtige Dienst</w:t>
      </w:r>
      <w:r w:rsidRPr="00C047AC">
        <w:rPr>
          <w:rFonts w:ascii="Verdana" w:hAnsi="Verdana"/>
          <w:sz w:val="20"/>
          <w:szCs w:val="20"/>
        </w:rPr>
        <w:t>: seit der Ratifizierung des Lissaboner Vertrags. Der „hohe Vertreter“ gilt als faktischer europäischer Außenminister.</w:t>
      </w:r>
    </w:p>
    <w:p w:rsidR="00305FDA" w:rsidRDefault="00305FDA">
      <w:pPr>
        <w:rPr>
          <w:rFonts w:ascii="Verdana" w:hAnsi="Verdana"/>
          <w:sz w:val="20"/>
          <w:szCs w:val="20"/>
        </w:rPr>
      </w:pPr>
    </w:p>
    <w:p w:rsidR="00305FDA" w:rsidRDefault="00305FDA">
      <w:pPr>
        <w:rPr>
          <w:rFonts w:ascii="Verdana" w:hAnsi="Verdana"/>
          <w:sz w:val="20"/>
          <w:szCs w:val="20"/>
        </w:rPr>
      </w:pPr>
      <w:r>
        <w:rPr>
          <w:rFonts w:ascii="Verdana" w:hAnsi="Verdana"/>
          <w:sz w:val="20"/>
          <w:szCs w:val="20"/>
        </w:rPr>
        <w:t xml:space="preserve">c. </w:t>
      </w:r>
      <w:r w:rsidRPr="00305FDA">
        <w:rPr>
          <w:rFonts w:ascii="Verdana" w:hAnsi="Verdana"/>
          <w:b/>
          <w:sz w:val="20"/>
          <w:szCs w:val="20"/>
        </w:rPr>
        <w:t>Europäisches Parlament</w:t>
      </w:r>
    </w:p>
    <w:p w:rsidR="00BB78B1" w:rsidRDefault="00305FDA">
      <w:pPr>
        <w:rPr>
          <w:rFonts w:ascii="Verdana" w:hAnsi="Verdana"/>
          <w:sz w:val="20"/>
          <w:szCs w:val="20"/>
        </w:rPr>
      </w:pPr>
      <w:r w:rsidRPr="00305FDA">
        <w:rPr>
          <w:rFonts w:ascii="Verdana" w:hAnsi="Verdana"/>
          <w:sz w:val="20"/>
          <w:szCs w:val="20"/>
        </w:rPr>
        <w:t xml:space="preserve">Sitz in Straßburg (Plenarsitzungen), Präsident Martin Schulz (2014), Sitzungen in Brüssel (Ausschüsse, Fraktionen, kürzere Plenarsitzungen), Luxemburg (parlamentsbezogene Aktivitäten). </w:t>
      </w:r>
      <w:r w:rsidRPr="00C047AC">
        <w:rPr>
          <w:rFonts w:ascii="Verdana" w:hAnsi="Verdana"/>
          <w:b/>
          <w:sz w:val="20"/>
          <w:szCs w:val="20"/>
        </w:rPr>
        <w:t xml:space="preserve">EP </w:t>
      </w:r>
      <w:r w:rsidRPr="00C047AC">
        <w:rPr>
          <w:rFonts w:ascii="Verdana" w:hAnsi="Verdana"/>
          <w:b/>
          <w:i/>
          <w:sz w:val="20"/>
          <w:szCs w:val="20"/>
        </w:rPr>
        <w:t>vertritt</w:t>
      </w:r>
      <w:r w:rsidRPr="00C047AC">
        <w:rPr>
          <w:rFonts w:ascii="Verdana" w:hAnsi="Verdana"/>
          <w:b/>
          <w:sz w:val="20"/>
          <w:szCs w:val="20"/>
        </w:rPr>
        <w:t xml:space="preserve"> </w:t>
      </w:r>
      <w:r w:rsidRPr="00C047AC">
        <w:rPr>
          <w:rFonts w:ascii="Verdana" w:hAnsi="Verdana"/>
          <w:b/>
          <w:i/>
          <w:sz w:val="20"/>
          <w:szCs w:val="20"/>
        </w:rPr>
        <w:t>die Völker</w:t>
      </w:r>
      <w:r w:rsidRPr="00C047AC">
        <w:rPr>
          <w:rFonts w:ascii="Verdana" w:hAnsi="Verdana"/>
          <w:b/>
          <w:sz w:val="20"/>
          <w:szCs w:val="20"/>
        </w:rPr>
        <w:t xml:space="preserve"> der Mitglieder</w:t>
      </w:r>
      <w:r w:rsidRPr="00305FDA">
        <w:rPr>
          <w:rFonts w:ascii="Verdana" w:hAnsi="Verdana"/>
          <w:sz w:val="20"/>
          <w:szCs w:val="20"/>
        </w:rPr>
        <w:t xml:space="preserve">. Unmittelbar von Bürgern legitimierte Abgeordnete. 17 ständige Ausschüsse für </w:t>
      </w:r>
      <w:proofErr w:type="spellStart"/>
      <w:r w:rsidRPr="00305FDA">
        <w:rPr>
          <w:rFonts w:ascii="Verdana" w:hAnsi="Verdana"/>
          <w:sz w:val="20"/>
          <w:szCs w:val="20"/>
        </w:rPr>
        <w:t>innnere</w:t>
      </w:r>
      <w:proofErr w:type="spellEnd"/>
      <w:r w:rsidRPr="00305FDA">
        <w:rPr>
          <w:rFonts w:ascii="Verdana" w:hAnsi="Verdana"/>
          <w:sz w:val="20"/>
          <w:szCs w:val="20"/>
        </w:rPr>
        <w:t xml:space="preserve"> und 3 für äußere Politiken. Aufgabe: Kontrolle der Kommission, Fragerecht, Mitwirkungsrecht am EU-Haushaltsplan, keine selbständige gesetzgebende Kompetenz, nur Mitentscheidungs-(Vetokompetenzen), hier aber gleichberechtigt mit Ministerrat.</w:t>
      </w:r>
    </w:p>
    <w:p w:rsidR="008B2973" w:rsidRPr="00C047AC" w:rsidRDefault="008B2973" w:rsidP="00C047AC">
      <w:pPr>
        <w:pStyle w:val="KeinLeerraum"/>
        <w:rPr>
          <w:rFonts w:ascii="Verdana" w:hAnsi="Verdana"/>
          <w:sz w:val="20"/>
          <w:szCs w:val="20"/>
        </w:rPr>
      </w:pPr>
      <w:r w:rsidRPr="00C047AC">
        <w:rPr>
          <w:rFonts w:ascii="Verdana" w:hAnsi="Verdana"/>
          <w:sz w:val="20"/>
          <w:szCs w:val="20"/>
        </w:rPr>
        <w:t>-</w:t>
      </w:r>
    </w:p>
    <w:p w:rsidR="008B2973" w:rsidRPr="00C047AC" w:rsidRDefault="008B2973" w:rsidP="00C047AC">
      <w:pPr>
        <w:pStyle w:val="KeinLeerraum"/>
        <w:rPr>
          <w:rFonts w:ascii="Verdana" w:hAnsi="Verdana"/>
          <w:b/>
          <w:bCs/>
          <w:sz w:val="20"/>
          <w:szCs w:val="20"/>
        </w:rPr>
      </w:pPr>
      <w:r w:rsidRPr="00C047AC">
        <w:rPr>
          <w:rFonts w:ascii="Verdana" w:hAnsi="Verdana"/>
          <w:b/>
          <w:bCs/>
          <w:sz w:val="20"/>
          <w:szCs w:val="20"/>
        </w:rPr>
        <w:t>3.2. Exekutive („Europäische Regierung“, „Kabinett“ der EU):</w:t>
      </w:r>
    </w:p>
    <w:p w:rsidR="008B2973" w:rsidRPr="00C047AC" w:rsidRDefault="008B2973" w:rsidP="00C047AC">
      <w:pPr>
        <w:pStyle w:val="KeinLeerraum"/>
        <w:rPr>
          <w:rFonts w:ascii="Verdana" w:hAnsi="Verdana"/>
          <w:sz w:val="20"/>
          <w:szCs w:val="20"/>
        </w:rPr>
      </w:pPr>
    </w:p>
    <w:p w:rsidR="008B2973" w:rsidRPr="00C047AC" w:rsidRDefault="008B2973" w:rsidP="00C047AC">
      <w:pPr>
        <w:pStyle w:val="KeinLeerraum"/>
        <w:rPr>
          <w:rFonts w:ascii="Verdana" w:hAnsi="Verdana"/>
          <w:b/>
          <w:bCs/>
          <w:sz w:val="20"/>
          <w:szCs w:val="20"/>
        </w:rPr>
      </w:pPr>
      <w:r w:rsidRPr="00C047AC">
        <w:rPr>
          <w:rFonts w:ascii="Verdana" w:hAnsi="Verdana"/>
          <w:b/>
          <w:bCs/>
          <w:sz w:val="20"/>
          <w:szCs w:val="20"/>
        </w:rPr>
        <w:t xml:space="preserve">Europäische Kommission (Organ): </w:t>
      </w:r>
    </w:p>
    <w:p w:rsidR="008B2973" w:rsidRPr="00C047AC" w:rsidRDefault="008B2973" w:rsidP="00C047AC">
      <w:pPr>
        <w:pStyle w:val="KeinLeerraum"/>
        <w:rPr>
          <w:rFonts w:ascii="Verdana" w:hAnsi="Verdana"/>
          <w:sz w:val="20"/>
          <w:szCs w:val="20"/>
          <w:lang w:eastAsia="de-DE"/>
        </w:rPr>
      </w:pPr>
    </w:p>
    <w:p w:rsidR="008B2973" w:rsidRPr="00C047AC" w:rsidRDefault="008B2973" w:rsidP="00C047AC">
      <w:pPr>
        <w:pStyle w:val="KeinLeerraum"/>
        <w:rPr>
          <w:rFonts w:ascii="Verdana" w:hAnsi="Verdana"/>
          <w:sz w:val="20"/>
          <w:szCs w:val="20"/>
          <w:lang w:eastAsia="de-DE"/>
        </w:rPr>
      </w:pPr>
      <w:r w:rsidRPr="00C047AC">
        <w:rPr>
          <w:rFonts w:ascii="Verdana" w:hAnsi="Verdana"/>
          <w:sz w:val="20"/>
          <w:szCs w:val="20"/>
        </w:rPr>
        <w:t>Sitz in Brüssel. Amtszeit der Kommissare beträgt fünf Jahre. Kommissare entsprechen in etwa einem Minister im Staat. Alle Mitgliedstaaten entsenden nach dem Vertrag von Lissabon jeweils einen Kommissar.</w:t>
      </w:r>
    </w:p>
    <w:p w:rsidR="008B2973" w:rsidRPr="00C047AC" w:rsidRDefault="008B2973" w:rsidP="00C047AC">
      <w:pPr>
        <w:pStyle w:val="KeinLeerraum"/>
        <w:rPr>
          <w:rFonts w:ascii="Verdana" w:hAnsi="Verdana"/>
          <w:sz w:val="20"/>
          <w:szCs w:val="20"/>
          <w:lang w:eastAsia="de-DE"/>
        </w:rPr>
      </w:pPr>
    </w:p>
    <w:p w:rsidR="008B2973" w:rsidRPr="00C047AC" w:rsidRDefault="008B2973" w:rsidP="00C047AC">
      <w:pPr>
        <w:pStyle w:val="KeinLeerraum"/>
        <w:rPr>
          <w:rFonts w:ascii="Verdana" w:hAnsi="Verdana"/>
          <w:sz w:val="20"/>
          <w:szCs w:val="20"/>
          <w:lang w:eastAsia="de-DE"/>
        </w:rPr>
      </w:pPr>
      <w:r w:rsidRPr="00C047AC">
        <w:rPr>
          <w:rFonts w:ascii="Verdana" w:hAnsi="Verdana"/>
          <w:sz w:val="20"/>
          <w:szCs w:val="20"/>
        </w:rPr>
        <w:t>Seit dem Lissabon-Vertrag (2009) sind bei der Nominierung des Kommissions-Präsidenten die Ergebnisse der EP-Wahlen zu berücksichtigen.</w:t>
      </w:r>
    </w:p>
    <w:p w:rsidR="008B2973" w:rsidRPr="00C047AC" w:rsidRDefault="008B2973" w:rsidP="00C047AC">
      <w:pPr>
        <w:pStyle w:val="KeinLeerraum"/>
        <w:rPr>
          <w:rFonts w:ascii="Verdana" w:hAnsi="Verdana"/>
          <w:sz w:val="20"/>
          <w:szCs w:val="20"/>
        </w:rPr>
      </w:pPr>
      <w:r w:rsidRPr="00C047AC">
        <w:rPr>
          <w:rFonts w:ascii="Verdana" w:hAnsi="Verdana"/>
          <w:sz w:val="20"/>
          <w:szCs w:val="20"/>
        </w:rPr>
        <w:t>Die Kommission ist ein Kollegialorgan: Sie fällt nur gemeinsam Be</w:t>
      </w:r>
      <w:r w:rsidR="00C047AC">
        <w:rPr>
          <w:rFonts w:ascii="Verdana" w:hAnsi="Verdana"/>
          <w:sz w:val="20"/>
          <w:szCs w:val="20"/>
        </w:rPr>
        <w:t xml:space="preserve">schlüsse mit einfacher Mehrheit. </w:t>
      </w:r>
      <w:r w:rsidRPr="00C047AC">
        <w:rPr>
          <w:rFonts w:ascii="Verdana" w:hAnsi="Verdana"/>
          <w:sz w:val="20"/>
          <w:szCs w:val="20"/>
        </w:rPr>
        <w:t>Es gibt keine europäische „Regierung“ im Sinne von Staatlichkeit, welche sich auf parlamentarische Mehrheiten im EP stützt und Maßnahmen gegenüber einem Volk zu verantworten hat.</w:t>
      </w:r>
      <w:r w:rsidR="00C047AC">
        <w:rPr>
          <w:rFonts w:ascii="Verdana" w:hAnsi="Verdana"/>
          <w:sz w:val="20"/>
          <w:szCs w:val="20"/>
        </w:rPr>
        <w:t xml:space="preserve"> Aber n</w:t>
      </w:r>
      <w:r w:rsidR="00C047AC" w:rsidRPr="00C047AC">
        <w:rPr>
          <w:rFonts w:ascii="Verdana" w:hAnsi="Verdana"/>
          <w:sz w:val="20"/>
          <w:szCs w:val="20"/>
        </w:rPr>
        <w:t xml:space="preserve">ach dem methodologischen Nationalismus ist sie als </w:t>
      </w:r>
      <w:r w:rsidR="00C047AC" w:rsidRPr="00C047AC">
        <w:rPr>
          <w:rFonts w:ascii="Verdana" w:hAnsi="Verdana"/>
          <w:b/>
          <w:sz w:val="20"/>
          <w:szCs w:val="20"/>
        </w:rPr>
        <w:t>faktische Regierung</w:t>
      </w:r>
      <w:r w:rsidR="00C047AC" w:rsidRPr="00C047AC">
        <w:rPr>
          <w:rFonts w:ascii="Verdana" w:hAnsi="Verdana"/>
          <w:sz w:val="20"/>
          <w:szCs w:val="20"/>
        </w:rPr>
        <w:t xml:space="preserve"> für supranationale Politik verantwortlich.</w:t>
      </w:r>
    </w:p>
    <w:p w:rsidR="008B2973" w:rsidRPr="00C047AC" w:rsidRDefault="008B2973" w:rsidP="00C047AC">
      <w:pPr>
        <w:pStyle w:val="KeinLeerraum"/>
        <w:rPr>
          <w:rFonts w:ascii="Verdana" w:hAnsi="Verdana"/>
          <w:sz w:val="20"/>
          <w:szCs w:val="20"/>
        </w:rPr>
      </w:pPr>
      <w:r w:rsidRPr="00C047AC">
        <w:rPr>
          <w:rFonts w:ascii="Verdana" w:hAnsi="Verdana"/>
          <w:sz w:val="20"/>
          <w:szCs w:val="20"/>
        </w:rPr>
        <w:t xml:space="preserve">Sie besitzt weitgehend das </w:t>
      </w:r>
      <w:r w:rsidRPr="00C047AC">
        <w:rPr>
          <w:rFonts w:ascii="Verdana" w:hAnsi="Verdana"/>
          <w:b/>
          <w:sz w:val="20"/>
          <w:szCs w:val="20"/>
        </w:rPr>
        <w:t>Initiativmonopol</w:t>
      </w:r>
      <w:r w:rsidRPr="00C047AC">
        <w:rPr>
          <w:rFonts w:ascii="Verdana" w:hAnsi="Verdana"/>
          <w:sz w:val="20"/>
          <w:szCs w:val="20"/>
        </w:rPr>
        <w:t xml:space="preserve"> (Vorschlagsmonopol) für europäische Rechtsakte zur Angleichung unterschiedlicher Bedingungen im Binnenmarkt.</w:t>
      </w:r>
    </w:p>
    <w:p w:rsidR="00C047AC" w:rsidRDefault="00C047AC" w:rsidP="00C047AC">
      <w:pPr>
        <w:pStyle w:val="KeinLeerraum"/>
        <w:rPr>
          <w:rFonts w:ascii="Verdana" w:hAnsi="Verdana"/>
          <w:sz w:val="20"/>
          <w:szCs w:val="20"/>
        </w:rPr>
      </w:pPr>
    </w:p>
    <w:p w:rsidR="001E0B7C" w:rsidRPr="00C047AC" w:rsidRDefault="001E0B7C" w:rsidP="00C047AC">
      <w:pPr>
        <w:pStyle w:val="KeinLeerraum"/>
        <w:rPr>
          <w:rFonts w:ascii="Verdana" w:hAnsi="Verdana"/>
          <w:sz w:val="20"/>
          <w:szCs w:val="20"/>
        </w:rPr>
      </w:pPr>
      <w:r w:rsidRPr="00C047AC">
        <w:rPr>
          <w:rFonts w:ascii="Verdana" w:hAnsi="Verdana"/>
          <w:sz w:val="20"/>
          <w:szCs w:val="20"/>
        </w:rPr>
        <w:t>-</w:t>
      </w:r>
    </w:p>
    <w:p w:rsidR="00C047AC" w:rsidRDefault="00C047AC" w:rsidP="00C047AC">
      <w:pPr>
        <w:pStyle w:val="KeinLeerraum"/>
        <w:rPr>
          <w:rFonts w:ascii="Verdana" w:hAnsi="Verdana"/>
          <w:sz w:val="20"/>
          <w:szCs w:val="20"/>
        </w:rPr>
      </w:pPr>
    </w:p>
    <w:p w:rsidR="001E0B7C" w:rsidRPr="00C047AC" w:rsidRDefault="001E0B7C" w:rsidP="00C047AC">
      <w:pPr>
        <w:pStyle w:val="KeinLeerraum"/>
        <w:rPr>
          <w:rFonts w:ascii="Verdana" w:hAnsi="Verdana"/>
          <w:b/>
          <w:sz w:val="20"/>
          <w:szCs w:val="20"/>
        </w:rPr>
      </w:pPr>
      <w:r w:rsidRPr="00C047AC">
        <w:rPr>
          <w:rFonts w:ascii="Verdana" w:hAnsi="Verdana"/>
          <w:b/>
          <w:sz w:val="20"/>
          <w:szCs w:val="20"/>
        </w:rPr>
        <w:t>3.3. Judikative</w:t>
      </w:r>
    </w:p>
    <w:p w:rsidR="00C047AC" w:rsidRDefault="00C047AC" w:rsidP="00C047AC">
      <w:pPr>
        <w:pStyle w:val="KeinLeerraum"/>
        <w:rPr>
          <w:rFonts w:ascii="Verdana" w:hAnsi="Verdana"/>
          <w:b/>
          <w:sz w:val="20"/>
          <w:szCs w:val="20"/>
        </w:rPr>
      </w:pPr>
    </w:p>
    <w:p w:rsidR="001E0B7C" w:rsidRPr="00C047AC" w:rsidRDefault="001E0B7C" w:rsidP="00C047AC">
      <w:pPr>
        <w:pStyle w:val="KeinLeerraum"/>
        <w:rPr>
          <w:rFonts w:ascii="Verdana" w:hAnsi="Verdana"/>
          <w:sz w:val="20"/>
          <w:szCs w:val="20"/>
        </w:rPr>
      </w:pPr>
      <w:r w:rsidRPr="00C047AC">
        <w:rPr>
          <w:rFonts w:ascii="Verdana" w:hAnsi="Verdana"/>
          <w:b/>
          <w:sz w:val="20"/>
          <w:szCs w:val="20"/>
        </w:rPr>
        <w:t>Europäischer Gerichtshof</w:t>
      </w:r>
      <w:r w:rsidRPr="00C047AC">
        <w:rPr>
          <w:rFonts w:ascii="Verdana" w:hAnsi="Verdana"/>
          <w:sz w:val="20"/>
          <w:szCs w:val="20"/>
        </w:rPr>
        <w:t xml:space="preserve">: kann – analog zu nationalen Verfassungsgerichten – Absprachen der kooperativen Akteure (ER, EK, EP) unter bestimmten Voraussetzungen </w:t>
      </w:r>
      <w:r w:rsidRPr="00C047AC">
        <w:rPr>
          <w:rFonts w:ascii="Verdana" w:hAnsi="Verdana"/>
          <w:b/>
          <w:sz w:val="20"/>
          <w:szCs w:val="20"/>
        </w:rPr>
        <w:t>widersprechen</w:t>
      </w:r>
      <w:r w:rsidRPr="00C047AC">
        <w:rPr>
          <w:rFonts w:ascii="Verdana" w:hAnsi="Verdana"/>
          <w:sz w:val="20"/>
          <w:szCs w:val="20"/>
        </w:rPr>
        <w:t>. Er ist damit kein kooperativer Akteur und ein kooperatives Organ.</w:t>
      </w:r>
    </w:p>
    <w:p w:rsidR="001E0B7C" w:rsidRPr="00C047AC" w:rsidRDefault="001E0B7C" w:rsidP="00C047AC">
      <w:pPr>
        <w:pStyle w:val="KeinLeerraum"/>
        <w:rPr>
          <w:rFonts w:ascii="Verdana" w:hAnsi="Verdana"/>
          <w:sz w:val="20"/>
          <w:szCs w:val="20"/>
        </w:rPr>
      </w:pPr>
    </w:p>
    <w:p w:rsidR="001E0B7C" w:rsidRPr="00C047AC" w:rsidRDefault="001E0B7C" w:rsidP="00C047AC">
      <w:pPr>
        <w:pStyle w:val="KeinLeerraum"/>
        <w:rPr>
          <w:rFonts w:ascii="Verdana" w:hAnsi="Verdana"/>
          <w:sz w:val="20"/>
          <w:szCs w:val="20"/>
        </w:rPr>
      </w:pPr>
      <w:r w:rsidRPr="00C047AC">
        <w:rPr>
          <w:rFonts w:ascii="Verdana" w:hAnsi="Verdana"/>
          <w:sz w:val="20"/>
          <w:szCs w:val="20"/>
        </w:rPr>
        <w:lastRenderedPageBreak/>
        <w:t xml:space="preserve">Als politisch unabhängiges Organ ist der EuGH kein kooperativer Akteur, er kann – analog nationaler Verfassungsgerichte - </w:t>
      </w:r>
      <w:proofErr w:type="spellStart"/>
      <w:r w:rsidRPr="00C047AC">
        <w:rPr>
          <w:rFonts w:ascii="Verdana" w:hAnsi="Verdana"/>
          <w:sz w:val="20"/>
          <w:szCs w:val="20"/>
        </w:rPr>
        <w:t>paretianischen</w:t>
      </w:r>
      <w:proofErr w:type="spellEnd"/>
      <w:r w:rsidRPr="00C047AC">
        <w:rPr>
          <w:rFonts w:ascii="Verdana" w:hAnsi="Verdana"/>
          <w:sz w:val="20"/>
          <w:szCs w:val="20"/>
        </w:rPr>
        <w:t xml:space="preserve"> </w:t>
      </w:r>
      <w:r w:rsidR="00C047AC">
        <w:rPr>
          <w:rFonts w:ascii="Verdana" w:hAnsi="Verdana"/>
          <w:sz w:val="20"/>
          <w:szCs w:val="20"/>
        </w:rPr>
        <w:t xml:space="preserve">(auf Pareto zurückgehende) </w:t>
      </w:r>
      <w:r w:rsidRPr="00C047AC">
        <w:rPr>
          <w:rFonts w:ascii="Verdana" w:hAnsi="Verdana"/>
          <w:sz w:val="20"/>
          <w:szCs w:val="20"/>
        </w:rPr>
        <w:t xml:space="preserve">Absprachen der kooperativen Akteure (Europäischer Rat, Ministerrat, Kommission, EP, </w:t>
      </w:r>
      <w:proofErr w:type="spellStart"/>
      <w:r w:rsidRPr="00C047AC">
        <w:rPr>
          <w:rFonts w:ascii="Verdana" w:hAnsi="Verdana"/>
          <w:sz w:val="20"/>
          <w:szCs w:val="20"/>
        </w:rPr>
        <w:t>Komitologie</w:t>
      </w:r>
      <w:proofErr w:type="spellEnd"/>
      <w:r w:rsidRPr="00C047AC">
        <w:rPr>
          <w:rFonts w:ascii="Verdana" w:hAnsi="Verdana"/>
          <w:sz w:val="20"/>
          <w:szCs w:val="20"/>
        </w:rPr>
        <w:t xml:space="preserve">, </w:t>
      </w:r>
      <w:proofErr w:type="spellStart"/>
      <w:r w:rsidRPr="00C047AC">
        <w:rPr>
          <w:rFonts w:ascii="Verdana" w:hAnsi="Verdana"/>
          <w:sz w:val="20"/>
          <w:szCs w:val="20"/>
        </w:rPr>
        <w:t>Coreper</w:t>
      </w:r>
      <w:proofErr w:type="spellEnd"/>
      <w:r w:rsidRPr="00C047AC">
        <w:rPr>
          <w:rFonts w:ascii="Verdana" w:hAnsi="Verdana"/>
          <w:sz w:val="20"/>
          <w:szCs w:val="20"/>
        </w:rPr>
        <w:t>) unter bestimmten Voraussetzungen widersprechen. Sitz des EuGH: Luxemburg.</w:t>
      </w:r>
      <w:r w:rsidRPr="00C047AC">
        <w:rPr>
          <w:rFonts w:ascii="Verdana" w:hAnsi="Verdana"/>
          <w:sz w:val="20"/>
          <w:szCs w:val="20"/>
        </w:rPr>
        <w:br/>
        <w:t>Richter des EuGH sind nur formal unabhängig. Ihre Wiederwahl um weitere sechs Jahre hängt vom Wohlwollen nationaler Politiker ab, sprich: vom Opportunitätsprinzip (nationaler Nutzen) ab. Damit ist ein Richter politisch abhängig.</w:t>
      </w:r>
    </w:p>
    <w:p w:rsidR="00C047AC" w:rsidRDefault="00C047AC" w:rsidP="00C047AC">
      <w:pPr>
        <w:pStyle w:val="KeinLeerraum"/>
        <w:rPr>
          <w:rFonts w:ascii="Verdana" w:hAnsi="Verdana"/>
          <w:sz w:val="20"/>
          <w:szCs w:val="20"/>
        </w:rPr>
      </w:pPr>
    </w:p>
    <w:p w:rsidR="00DC2309" w:rsidRPr="00C047AC" w:rsidRDefault="00DC2309" w:rsidP="00C047AC">
      <w:pPr>
        <w:pStyle w:val="KeinLeerraum"/>
        <w:rPr>
          <w:rFonts w:ascii="Verdana" w:hAnsi="Verdana"/>
          <w:sz w:val="20"/>
          <w:szCs w:val="20"/>
        </w:rPr>
      </w:pPr>
      <w:r w:rsidRPr="00C047AC">
        <w:rPr>
          <w:rFonts w:ascii="Verdana" w:hAnsi="Verdana"/>
          <w:sz w:val="20"/>
          <w:szCs w:val="20"/>
        </w:rPr>
        <w:t>-</w:t>
      </w:r>
    </w:p>
    <w:p w:rsidR="00C047AC" w:rsidRDefault="00C047AC" w:rsidP="00C047AC">
      <w:pPr>
        <w:pStyle w:val="KeinLeerraum"/>
        <w:rPr>
          <w:rFonts w:ascii="Verdana" w:hAnsi="Verdana"/>
          <w:sz w:val="20"/>
          <w:szCs w:val="20"/>
        </w:rPr>
      </w:pPr>
    </w:p>
    <w:p w:rsidR="00DC2309" w:rsidRPr="00C047AC" w:rsidRDefault="00DC2309" w:rsidP="00C047AC">
      <w:pPr>
        <w:pStyle w:val="KeinLeerraum"/>
        <w:rPr>
          <w:rFonts w:ascii="Verdana" w:hAnsi="Verdana"/>
          <w:b/>
          <w:sz w:val="20"/>
          <w:szCs w:val="20"/>
        </w:rPr>
      </w:pPr>
      <w:r w:rsidRPr="00C047AC">
        <w:rPr>
          <w:rFonts w:ascii="Verdana" w:hAnsi="Verdana"/>
          <w:b/>
          <w:sz w:val="20"/>
          <w:szCs w:val="20"/>
        </w:rPr>
        <w:t>3.4. Weitere Organe / Hilfsorgane</w:t>
      </w:r>
    </w:p>
    <w:p w:rsidR="00C047AC" w:rsidRDefault="00C047AC" w:rsidP="00C047AC">
      <w:pPr>
        <w:pStyle w:val="KeinLeerraum"/>
        <w:rPr>
          <w:rFonts w:ascii="Verdana" w:hAnsi="Verdana"/>
          <w:sz w:val="20"/>
          <w:szCs w:val="20"/>
        </w:rPr>
      </w:pPr>
    </w:p>
    <w:p w:rsidR="00DC2309" w:rsidRPr="00C047AC" w:rsidRDefault="00DC2309" w:rsidP="00C047AC">
      <w:pPr>
        <w:pStyle w:val="KeinLeerraum"/>
        <w:rPr>
          <w:rFonts w:ascii="Verdana" w:hAnsi="Verdana"/>
          <w:sz w:val="20"/>
          <w:szCs w:val="20"/>
        </w:rPr>
      </w:pPr>
      <w:r w:rsidRPr="00C047AC">
        <w:rPr>
          <w:rFonts w:ascii="Verdana" w:hAnsi="Verdana"/>
          <w:b/>
          <w:sz w:val="20"/>
          <w:szCs w:val="20"/>
        </w:rPr>
        <w:t>Europäischer Rechnungshof</w:t>
      </w:r>
      <w:r w:rsidRPr="00C047AC">
        <w:rPr>
          <w:rFonts w:ascii="Verdana" w:hAnsi="Verdana"/>
          <w:sz w:val="20"/>
          <w:szCs w:val="20"/>
        </w:rPr>
        <w:t>: Kontrolle über Verwendung von gemeinschaftlichen Haushaltsmitteln.</w:t>
      </w:r>
    </w:p>
    <w:p w:rsidR="00C047AC" w:rsidRDefault="00C047AC" w:rsidP="00C047AC">
      <w:pPr>
        <w:pStyle w:val="KeinLeerraum"/>
        <w:rPr>
          <w:rFonts w:ascii="Verdana" w:hAnsi="Verdana"/>
          <w:b/>
          <w:sz w:val="20"/>
          <w:szCs w:val="20"/>
        </w:rPr>
      </w:pPr>
    </w:p>
    <w:p w:rsidR="00DC2309" w:rsidRPr="00C047AC" w:rsidRDefault="00DC2309" w:rsidP="00C047AC">
      <w:pPr>
        <w:pStyle w:val="KeinLeerraum"/>
        <w:rPr>
          <w:rFonts w:ascii="Verdana" w:hAnsi="Verdana"/>
          <w:sz w:val="20"/>
          <w:szCs w:val="20"/>
        </w:rPr>
      </w:pPr>
      <w:r w:rsidRPr="00C047AC">
        <w:rPr>
          <w:rFonts w:ascii="Verdana" w:hAnsi="Verdana"/>
          <w:b/>
          <w:sz w:val="20"/>
          <w:szCs w:val="20"/>
        </w:rPr>
        <w:t>Europäische Zentralbank</w:t>
      </w:r>
      <w:r w:rsidRPr="00C047AC">
        <w:rPr>
          <w:rFonts w:ascii="Verdana" w:hAnsi="Verdana"/>
          <w:sz w:val="20"/>
          <w:szCs w:val="20"/>
        </w:rPr>
        <w:t>: Festlegung und Durchführung einer einheitlichen Geld-, Zins- und Währungspolitik.</w:t>
      </w:r>
    </w:p>
    <w:p w:rsidR="00C047AC" w:rsidRDefault="00C047AC" w:rsidP="00C047AC">
      <w:pPr>
        <w:pStyle w:val="KeinLeerraum"/>
        <w:rPr>
          <w:rFonts w:ascii="Verdana" w:hAnsi="Verdana"/>
          <w:b/>
          <w:bCs/>
          <w:sz w:val="20"/>
          <w:szCs w:val="20"/>
        </w:rPr>
      </w:pPr>
    </w:p>
    <w:p w:rsidR="00DC2309" w:rsidRDefault="00DC2309" w:rsidP="00C047AC">
      <w:pPr>
        <w:pStyle w:val="KeinLeerraum"/>
        <w:rPr>
          <w:rFonts w:ascii="Verdana" w:hAnsi="Verdana"/>
          <w:sz w:val="20"/>
          <w:szCs w:val="20"/>
        </w:rPr>
      </w:pPr>
      <w:proofErr w:type="spellStart"/>
      <w:r w:rsidRPr="00C047AC">
        <w:rPr>
          <w:rFonts w:ascii="Verdana" w:hAnsi="Verdana"/>
          <w:b/>
          <w:bCs/>
          <w:sz w:val="20"/>
          <w:szCs w:val="20"/>
        </w:rPr>
        <w:t>Komitologie</w:t>
      </w:r>
      <w:proofErr w:type="spellEnd"/>
      <w:r w:rsidRPr="00C047AC">
        <w:rPr>
          <w:rFonts w:ascii="Verdana" w:hAnsi="Verdana"/>
          <w:bCs/>
          <w:sz w:val="20"/>
          <w:szCs w:val="20"/>
        </w:rPr>
        <w:t xml:space="preserve"> (kein Organ): Ausschüsse zur </w:t>
      </w:r>
      <w:r w:rsidRPr="00C047AC">
        <w:rPr>
          <w:rFonts w:ascii="Verdana" w:hAnsi="Verdana"/>
          <w:sz w:val="20"/>
          <w:szCs w:val="20"/>
        </w:rPr>
        <w:t>nationalen Kontrolle der Vorschläge der Europäischen Kommission, inhaltliche Anpassungsvorschläge nationaler Akteure gegenüber Kommission, Nutzung externer Information (undemokratische Geheimniskrämerei hinter verschlossenen Türen).</w:t>
      </w:r>
    </w:p>
    <w:p w:rsidR="00C047AC" w:rsidRPr="00C047AC" w:rsidRDefault="00C047AC" w:rsidP="00C047AC">
      <w:pPr>
        <w:pStyle w:val="KeinLeerraum"/>
        <w:rPr>
          <w:rFonts w:ascii="Verdana" w:hAnsi="Verdana"/>
          <w:sz w:val="20"/>
          <w:szCs w:val="20"/>
        </w:rPr>
      </w:pPr>
    </w:p>
    <w:p w:rsidR="003362CE" w:rsidRPr="00C047AC" w:rsidRDefault="003362CE" w:rsidP="00C047AC">
      <w:pPr>
        <w:pStyle w:val="KeinLeerraum"/>
        <w:rPr>
          <w:rFonts w:ascii="Verdana" w:hAnsi="Verdana"/>
          <w:sz w:val="20"/>
          <w:szCs w:val="20"/>
        </w:rPr>
      </w:pPr>
      <w:r w:rsidRPr="00C047AC">
        <w:rPr>
          <w:rFonts w:ascii="Verdana" w:hAnsi="Verdana"/>
          <w:sz w:val="20"/>
          <w:szCs w:val="20"/>
        </w:rPr>
        <w:t>-</w:t>
      </w:r>
    </w:p>
    <w:p w:rsidR="00C047AC" w:rsidRDefault="00C047AC" w:rsidP="00C047AC">
      <w:pPr>
        <w:pStyle w:val="KeinLeerraum"/>
        <w:rPr>
          <w:rFonts w:ascii="Verdana" w:hAnsi="Verdana"/>
          <w:b/>
          <w:bCs/>
          <w:sz w:val="20"/>
          <w:szCs w:val="20"/>
        </w:rPr>
      </w:pPr>
    </w:p>
    <w:p w:rsidR="00C047AC" w:rsidRPr="00C047AC" w:rsidRDefault="003362CE" w:rsidP="00C047AC">
      <w:pPr>
        <w:pStyle w:val="KeinLeerraum"/>
        <w:rPr>
          <w:rFonts w:ascii="Verdana" w:hAnsi="Verdana"/>
          <w:b/>
          <w:bCs/>
          <w:sz w:val="20"/>
          <w:szCs w:val="20"/>
        </w:rPr>
      </w:pPr>
      <w:r w:rsidRPr="00C047AC">
        <w:rPr>
          <w:rFonts w:ascii="Verdana" w:hAnsi="Verdana"/>
          <w:b/>
          <w:bCs/>
          <w:sz w:val="20"/>
          <w:szCs w:val="20"/>
        </w:rPr>
        <w:t xml:space="preserve">4. </w:t>
      </w:r>
      <w:r w:rsidRPr="00C047AC">
        <w:rPr>
          <w:rFonts w:ascii="Verdana" w:hAnsi="Verdana"/>
          <w:b/>
          <w:bCs/>
          <w:i/>
          <w:sz w:val="20"/>
          <w:szCs w:val="20"/>
        </w:rPr>
        <w:t>Gibt es eine Opposition im EU-Regierungssystem</w:t>
      </w:r>
      <w:r w:rsidRPr="00C047AC">
        <w:rPr>
          <w:rFonts w:ascii="Verdana" w:hAnsi="Verdana"/>
          <w:b/>
          <w:bCs/>
          <w:sz w:val="20"/>
          <w:szCs w:val="20"/>
        </w:rPr>
        <w:t>?</w:t>
      </w:r>
    </w:p>
    <w:p w:rsidR="003362CE" w:rsidRPr="00C047AC" w:rsidRDefault="003362CE" w:rsidP="00C047AC">
      <w:pPr>
        <w:pStyle w:val="KeinLeerraum"/>
        <w:rPr>
          <w:rFonts w:ascii="Verdana" w:hAnsi="Verdana"/>
          <w:sz w:val="20"/>
          <w:szCs w:val="20"/>
        </w:rPr>
      </w:pPr>
      <w:r w:rsidRPr="00C047AC">
        <w:rPr>
          <w:rFonts w:ascii="Verdana" w:hAnsi="Verdana"/>
          <w:sz w:val="20"/>
          <w:szCs w:val="20"/>
        </w:rPr>
        <w:t xml:space="preserve">Unter der Annahme, dass die Europäische Kommission durch ihr Vorschlagsmonopol europäischer Rechtsakte gemäß dem „methodologischen Nationalismus“ als „Regierung“ gilt, dann bestehen folgende oppositionelle Institutionen: Europäisches Parlament (Veto-Organ ohne Initiativrecht), der Ministerrat, die </w:t>
      </w:r>
      <w:proofErr w:type="spellStart"/>
      <w:r w:rsidRPr="00C047AC">
        <w:rPr>
          <w:rFonts w:ascii="Verdana" w:hAnsi="Verdana"/>
          <w:sz w:val="20"/>
          <w:szCs w:val="20"/>
        </w:rPr>
        <w:t>Komitologie</w:t>
      </w:r>
      <w:proofErr w:type="spellEnd"/>
      <w:r w:rsidRPr="00C047AC">
        <w:rPr>
          <w:rFonts w:ascii="Verdana" w:hAnsi="Verdana"/>
          <w:sz w:val="20"/>
          <w:szCs w:val="20"/>
        </w:rPr>
        <w:t>, EUGH</w:t>
      </w:r>
    </w:p>
    <w:p w:rsidR="00C047AC" w:rsidRDefault="00C047AC" w:rsidP="00C047AC">
      <w:pPr>
        <w:pStyle w:val="KeinLeerraum"/>
        <w:rPr>
          <w:rFonts w:ascii="Verdana" w:hAnsi="Verdana"/>
          <w:sz w:val="20"/>
          <w:szCs w:val="20"/>
        </w:rPr>
      </w:pPr>
    </w:p>
    <w:p w:rsidR="007D17F3" w:rsidRPr="00C047AC" w:rsidRDefault="003362CE" w:rsidP="00C047AC">
      <w:pPr>
        <w:pStyle w:val="KeinLeerraum"/>
        <w:rPr>
          <w:rFonts w:ascii="Verdana" w:hAnsi="Verdana"/>
          <w:sz w:val="20"/>
          <w:szCs w:val="20"/>
        </w:rPr>
      </w:pPr>
      <w:r w:rsidRPr="00C047AC">
        <w:rPr>
          <w:rFonts w:ascii="Verdana" w:hAnsi="Verdana"/>
          <w:sz w:val="20"/>
          <w:szCs w:val="20"/>
        </w:rPr>
        <w:t>-</w:t>
      </w:r>
    </w:p>
    <w:p w:rsidR="00C047AC" w:rsidRDefault="00C047AC" w:rsidP="00C047AC">
      <w:pPr>
        <w:pStyle w:val="KeinLeerraum"/>
        <w:rPr>
          <w:rFonts w:ascii="Verdana" w:hAnsi="Verdana"/>
          <w:bCs/>
          <w:sz w:val="20"/>
          <w:szCs w:val="20"/>
        </w:rPr>
      </w:pPr>
    </w:p>
    <w:p w:rsidR="00C047AC" w:rsidRPr="00C047AC" w:rsidRDefault="003362CE" w:rsidP="00C047AC">
      <w:pPr>
        <w:pStyle w:val="KeinLeerraum"/>
        <w:rPr>
          <w:rFonts w:ascii="Verdana" w:hAnsi="Verdana"/>
          <w:b/>
          <w:bCs/>
          <w:sz w:val="20"/>
          <w:szCs w:val="20"/>
        </w:rPr>
      </w:pPr>
      <w:r w:rsidRPr="00C047AC">
        <w:rPr>
          <w:rFonts w:ascii="Verdana" w:hAnsi="Verdana"/>
          <w:b/>
          <w:bCs/>
          <w:sz w:val="20"/>
          <w:szCs w:val="20"/>
        </w:rPr>
        <w:t>5. Rechtliche Wirksamkeit legislativer Akte der EU</w:t>
      </w:r>
    </w:p>
    <w:p w:rsidR="003362CE" w:rsidRPr="00C047AC" w:rsidRDefault="003362CE" w:rsidP="00C047AC">
      <w:pPr>
        <w:pStyle w:val="KeinLeerraum"/>
        <w:rPr>
          <w:rFonts w:ascii="Verdana" w:hAnsi="Verdana"/>
          <w:sz w:val="20"/>
          <w:szCs w:val="20"/>
        </w:rPr>
      </w:pPr>
      <w:r w:rsidRPr="00C047AC">
        <w:rPr>
          <w:rFonts w:ascii="Verdana" w:hAnsi="Verdana"/>
          <w:sz w:val="20"/>
          <w:szCs w:val="20"/>
        </w:rPr>
        <w:t xml:space="preserve">Die EU kann nur Richtlinien, Verordnungen oder rechtlich unverbindliche Empfehlungen vorlegen. Die Wirksamkeit supranationaler Rechtsakte ergibt sich erst dann, wenn nationale Parlamente die Akte mit Mehrheit angenommen bzw. ratifiziert haben. In Deutschland müssen solche Entscheidungen im </w:t>
      </w:r>
      <w:r w:rsidRPr="00C047AC">
        <w:rPr>
          <w:rFonts w:ascii="Verdana" w:hAnsi="Verdana"/>
          <w:i/>
          <w:sz w:val="20"/>
          <w:szCs w:val="20"/>
        </w:rPr>
        <w:t>Bundesgesetzblatt</w:t>
      </w:r>
      <w:r w:rsidRPr="00C047AC">
        <w:rPr>
          <w:rFonts w:ascii="Verdana" w:hAnsi="Verdana"/>
          <w:sz w:val="20"/>
          <w:szCs w:val="20"/>
        </w:rPr>
        <w:t xml:space="preserve"> veröffentlicht sein, um rechtskräftig zu werden.</w:t>
      </w:r>
    </w:p>
    <w:p w:rsidR="003362CE" w:rsidRDefault="003362CE" w:rsidP="00C047AC">
      <w:pPr>
        <w:pStyle w:val="KeinLeerraum"/>
        <w:rPr>
          <w:rFonts w:ascii="Verdana" w:hAnsi="Verdana"/>
          <w:sz w:val="20"/>
          <w:szCs w:val="20"/>
        </w:rPr>
      </w:pPr>
      <w:r w:rsidRPr="00C047AC">
        <w:rPr>
          <w:rFonts w:ascii="Verdana" w:hAnsi="Verdana"/>
          <w:sz w:val="20"/>
          <w:szCs w:val="20"/>
        </w:rPr>
        <w:t xml:space="preserve">Zu unterscheiden ist zwischen </w:t>
      </w:r>
      <w:r w:rsidRPr="00C047AC">
        <w:rPr>
          <w:rFonts w:ascii="Verdana" w:hAnsi="Verdana"/>
          <w:i/>
          <w:sz w:val="20"/>
          <w:szCs w:val="20"/>
        </w:rPr>
        <w:t>Primär</w:t>
      </w:r>
      <w:r w:rsidRPr="00C047AC">
        <w:rPr>
          <w:rFonts w:ascii="Verdana" w:hAnsi="Verdana"/>
          <w:sz w:val="20"/>
          <w:szCs w:val="20"/>
        </w:rPr>
        <w:t xml:space="preserve">- und </w:t>
      </w:r>
      <w:r w:rsidRPr="00C047AC">
        <w:rPr>
          <w:rFonts w:ascii="Verdana" w:hAnsi="Verdana"/>
          <w:i/>
          <w:sz w:val="20"/>
          <w:szCs w:val="20"/>
        </w:rPr>
        <w:t>Sekundärrecht</w:t>
      </w:r>
      <w:r w:rsidRPr="00C047AC">
        <w:rPr>
          <w:rFonts w:ascii="Verdana" w:hAnsi="Verdana"/>
          <w:sz w:val="20"/>
          <w:szCs w:val="20"/>
        </w:rPr>
        <w:t>: Als Primärrecht gilt der Unionsvertrag (AEUV, EUV). Zum Sekundärrecht gehören daraus abgeleitete Richtlinien, Verordnungen und Empfehlungen (Art. 288 AEUV).</w:t>
      </w:r>
    </w:p>
    <w:p w:rsidR="00C047AC" w:rsidRPr="00C047AC" w:rsidRDefault="00C047AC" w:rsidP="00C047AC">
      <w:pPr>
        <w:pStyle w:val="KeinLeerraum"/>
        <w:rPr>
          <w:rFonts w:ascii="Verdana" w:hAnsi="Verdana"/>
          <w:sz w:val="20"/>
          <w:szCs w:val="20"/>
        </w:rPr>
      </w:pPr>
    </w:p>
    <w:p w:rsidR="003362CE" w:rsidRPr="00C047AC" w:rsidRDefault="003362CE" w:rsidP="00C047AC">
      <w:pPr>
        <w:pStyle w:val="KeinLeerraum"/>
        <w:rPr>
          <w:rFonts w:ascii="Verdana" w:hAnsi="Verdana"/>
          <w:sz w:val="20"/>
          <w:szCs w:val="20"/>
        </w:rPr>
      </w:pPr>
      <w:r w:rsidRPr="00C047AC">
        <w:rPr>
          <w:rFonts w:ascii="Verdana" w:hAnsi="Verdana"/>
          <w:sz w:val="20"/>
          <w:szCs w:val="20"/>
        </w:rPr>
        <w:t>-</w:t>
      </w:r>
    </w:p>
    <w:p w:rsidR="00C047AC" w:rsidRDefault="00C047AC" w:rsidP="00C047AC">
      <w:pPr>
        <w:pStyle w:val="KeinLeerraum"/>
        <w:rPr>
          <w:rFonts w:ascii="Verdana" w:hAnsi="Verdana"/>
          <w:bCs/>
          <w:sz w:val="20"/>
          <w:szCs w:val="20"/>
        </w:rPr>
      </w:pPr>
    </w:p>
    <w:p w:rsidR="003362CE" w:rsidRPr="00C047AC" w:rsidRDefault="003362CE" w:rsidP="00C047AC">
      <w:pPr>
        <w:pStyle w:val="KeinLeerraum"/>
        <w:rPr>
          <w:rFonts w:ascii="Verdana" w:hAnsi="Verdana"/>
          <w:b/>
          <w:bCs/>
          <w:sz w:val="20"/>
          <w:szCs w:val="20"/>
        </w:rPr>
      </w:pPr>
      <w:r w:rsidRPr="00C047AC">
        <w:rPr>
          <w:rFonts w:ascii="Verdana" w:hAnsi="Verdana"/>
          <w:b/>
          <w:bCs/>
          <w:sz w:val="20"/>
          <w:szCs w:val="20"/>
        </w:rPr>
        <w:t>6. Staatlichkeit der EU?</w:t>
      </w:r>
    </w:p>
    <w:p w:rsidR="00C047AC" w:rsidRDefault="00C047AC" w:rsidP="00C047AC">
      <w:pPr>
        <w:pStyle w:val="KeinLeerraum"/>
        <w:rPr>
          <w:rFonts w:ascii="Verdana" w:hAnsi="Verdana"/>
          <w:bCs/>
          <w:sz w:val="20"/>
          <w:szCs w:val="20"/>
        </w:rPr>
      </w:pPr>
    </w:p>
    <w:p w:rsidR="003362CE" w:rsidRDefault="003362CE" w:rsidP="00C047AC">
      <w:pPr>
        <w:pStyle w:val="KeinLeerraum"/>
        <w:rPr>
          <w:rFonts w:ascii="Verdana" w:hAnsi="Verdana"/>
          <w:bCs/>
          <w:sz w:val="20"/>
          <w:szCs w:val="20"/>
        </w:rPr>
      </w:pPr>
      <w:r w:rsidRPr="00C047AC">
        <w:rPr>
          <w:rFonts w:ascii="Verdana" w:hAnsi="Verdana"/>
          <w:bCs/>
          <w:sz w:val="20"/>
          <w:szCs w:val="20"/>
        </w:rPr>
        <w:t xml:space="preserve">EU verfügt über kein rechtliches, aber faktisches Prinzip der Gewaltenteilung. Besitzt eigene Flagge, Hymne, Unionsbürgerschaft, europäischen Führerschein. </w:t>
      </w:r>
      <w:r w:rsidRPr="00C047AC">
        <w:rPr>
          <w:rFonts w:ascii="Verdana" w:hAnsi="Verdana"/>
          <w:b/>
          <w:bCs/>
          <w:sz w:val="20"/>
          <w:szCs w:val="20"/>
        </w:rPr>
        <w:t>Die Indikatoren suggerieren Staatlichkeit der EU</w:t>
      </w:r>
      <w:r w:rsidRPr="00C047AC">
        <w:rPr>
          <w:rFonts w:ascii="Verdana" w:hAnsi="Verdana"/>
          <w:bCs/>
          <w:sz w:val="20"/>
          <w:szCs w:val="20"/>
        </w:rPr>
        <w:t>. Die Verträge (AEUV, EUV) werden von Juristen als Verfassung bewertet, obwohl sie primär wirtschaftspolitische Indikatoren beinhaltet. Existenz von Staatlichkeit ist auch ohne Verfassung wie in Großbritannien möglich.</w:t>
      </w:r>
    </w:p>
    <w:p w:rsidR="00C047AC" w:rsidRPr="00C047AC" w:rsidRDefault="00C047AC" w:rsidP="00C047AC">
      <w:pPr>
        <w:pStyle w:val="KeinLeerraum"/>
        <w:rPr>
          <w:rFonts w:ascii="Verdana" w:hAnsi="Verdana"/>
          <w:bCs/>
          <w:sz w:val="20"/>
          <w:szCs w:val="20"/>
        </w:rPr>
      </w:pPr>
    </w:p>
    <w:p w:rsidR="003362CE" w:rsidRDefault="003362CE" w:rsidP="00C047AC">
      <w:pPr>
        <w:pStyle w:val="KeinLeerraum"/>
        <w:rPr>
          <w:rFonts w:ascii="Verdana" w:hAnsi="Verdana"/>
          <w:sz w:val="20"/>
          <w:szCs w:val="20"/>
        </w:rPr>
      </w:pPr>
      <w:r w:rsidRPr="00C047AC">
        <w:rPr>
          <w:rFonts w:ascii="Verdana" w:hAnsi="Verdana"/>
          <w:sz w:val="20"/>
          <w:szCs w:val="20"/>
        </w:rPr>
        <w:t>Folgende drei Kriterien definieren Staatlichkeit: a) Staatsvolk, b) Staatsgebiet, c) Staatsgewalt.</w:t>
      </w:r>
    </w:p>
    <w:p w:rsidR="00C047AC" w:rsidRDefault="00C047AC" w:rsidP="00C047AC">
      <w:pPr>
        <w:pStyle w:val="KeinLeerraum"/>
        <w:rPr>
          <w:rFonts w:ascii="Verdana" w:hAnsi="Verdana"/>
          <w:sz w:val="20"/>
          <w:szCs w:val="20"/>
        </w:rPr>
      </w:pPr>
    </w:p>
    <w:p w:rsidR="003362CE" w:rsidRPr="00C047AC" w:rsidRDefault="003362CE" w:rsidP="00C047AC">
      <w:pPr>
        <w:pStyle w:val="KeinLeerraum"/>
        <w:rPr>
          <w:rFonts w:ascii="Verdana" w:hAnsi="Verdana"/>
          <w:sz w:val="20"/>
          <w:szCs w:val="20"/>
        </w:rPr>
      </w:pPr>
      <w:r w:rsidRPr="00C047AC">
        <w:rPr>
          <w:rFonts w:ascii="Verdana" w:hAnsi="Verdana"/>
          <w:sz w:val="20"/>
          <w:szCs w:val="20"/>
        </w:rPr>
        <w:lastRenderedPageBreak/>
        <w:t>Die EU besteht aus:</w:t>
      </w:r>
    </w:p>
    <w:p w:rsidR="003362CE" w:rsidRPr="00C047AC" w:rsidRDefault="003362CE" w:rsidP="00C047AC">
      <w:pPr>
        <w:pStyle w:val="KeinLeerraum"/>
        <w:rPr>
          <w:rFonts w:ascii="Verdana" w:hAnsi="Verdana"/>
          <w:sz w:val="20"/>
          <w:szCs w:val="20"/>
        </w:rPr>
      </w:pPr>
      <w:r w:rsidRPr="00C047AC">
        <w:rPr>
          <w:rFonts w:ascii="Verdana" w:hAnsi="Verdana"/>
          <w:sz w:val="20"/>
          <w:szCs w:val="20"/>
        </w:rPr>
        <w:t>ad a) den Völkern der Mitgliedstaaten, es existiert kein europäisches Staatsvolk, Unionsbürgerschaft oder europäische Hymne haben nur symbolische Funktionen</w:t>
      </w:r>
      <w:r w:rsidR="00C047AC">
        <w:rPr>
          <w:rFonts w:ascii="Verdana" w:hAnsi="Verdana"/>
          <w:sz w:val="20"/>
          <w:szCs w:val="20"/>
        </w:rPr>
        <w:t>.</w:t>
      </w:r>
    </w:p>
    <w:p w:rsidR="003362CE" w:rsidRPr="00C047AC" w:rsidRDefault="003362CE" w:rsidP="00C047AC">
      <w:pPr>
        <w:pStyle w:val="KeinLeerraum"/>
        <w:rPr>
          <w:rFonts w:ascii="Verdana" w:hAnsi="Verdana"/>
          <w:sz w:val="20"/>
          <w:szCs w:val="20"/>
        </w:rPr>
      </w:pPr>
      <w:r w:rsidRPr="00C047AC">
        <w:rPr>
          <w:rFonts w:ascii="Verdana" w:hAnsi="Verdana"/>
          <w:sz w:val="20"/>
          <w:szCs w:val="20"/>
        </w:rPr>
        <w:t xml:space="preserve">ad b) Grenzen bestehen als wirtschafts- oder zollpolitische Normen gegenüber Drittstaaten, es sind </w:t>
      </w:r>
      <w:r w:rsidRPr="00C047AC">
        <w:rPr>
          <w:rFonts w:ascii="Verdana" w:hAnsi="Verdana"/>
          <w:i/>
          <w:sz w:val="20"/>
          <w:szCs w:val="20"/>
        </w:rPr>
        <w:t>keine</w:t>
      </w:r>
      <w:r w:rsidRPr="00C047AC">
        <w:rPr>
          <w:rFonts w:ascii="Verdana" w:hAnsi="Verdana"/>
          <w:sz w:val="20"/>
          <w:szCs w:val="20"/>
        </w:rPr>
        <w:t xml:space="preserve"> staatspolitischen Grenzen</w:t>
      </w:r>
      <w:r w:rsidR="00C047AC">
        <w:rPr>
          <w:rFonts w:ascii="Verdana" w:hAnsi="Verdana"/>
          <w:sz w:val="20"/>
          <w:szCs w:val="20"/>
        </w:rPr>
        <w:t>.</w:t>
      </w:r>
    </w:p>
    <w:p w:rsidR="003362CE" w:rsidRPr="00C047AC" w:rsidRDefault="003362CE" w:rsidP="00C047AC">
      <w:pPr>
        <w:pStyle w:val="KeinLeerraum"/>
        <w:rPr>
          <w:rFonts w:ascii="Verdana" w:hAnsi="Verdana"/>
          <w:sz w:val="20"/>
          <w:szCs w:val="20"/>
        </w:rPr>
      </w:pPr>
      <w:r w:rsidRPr="00C047AC">
        <w:rPr>
          <w:rFonts w:ascii="Verdana" w:hAnsi="Verdana"/>
          <w:sz w:val="20"/>
          <w:szCs w:val="20"/>
        </w:rPr>
        <w:t>ad c) EU besitzt kein Gewaltmonopol, um supranationale Rechtsakte wie Richtlinien, Verordnungen oder EuGH-Rechtsprechung zu exekutieren. Sie besitzt kein administratives Mandat zur exekutiven Gewalt. Bei der Durchsetzung supranationaler Maßnahmen jeder Art ist sie stets abhängig von kooperativen Institutionen (vor allem der nationalen Leitgerichte) der Mitgliedstaaten. Wenn eine nationale Legislative und Judikative sich weigern, europäische Akte anzuerkennen, wird im Nationalstaat kein EU-Rechtsakt wirksam.</w:t>
      </w:r>
    </w:p>
    <w:p w:rsidR="00C047AC" w:rsidRDefault="00C047AC" w:rsidP="00C047AC">
      <w:pPr>
        <w:pStyle w:val="KeinLeerraum"/>
        <w:rPr>
          <w:rFonts w:ascii="Verdana" w:hAnsi="Verdana"/>
          <w:sz w:val="20"/>
          <w:szCs w:val="20"/>
        </w:rPr>
      </w:pPr>
    </w:p>
    <w:p w:rsidR="003362CE" w:rsidRPr="00C047AC" w:rsidRDefault="003362CE" w:rsidP="00C047AC">
      <w:pPr>
        <w:pStyle w:val="KeinLeerraum"/>
        <w:rPr>
          <w:rFonts w:ascii="Verdana" w:hAnsi="Verdana"/>
          <w:sz w:val="20"/>
          <w:szCs w:val="20"/>
        </w:rPr>
      </w:pPr>
      <w:r w:rsidRPr="00C047AC">
        <w:rPr>
          <w:rFonts w:ascii="Verdana" w:hAnsi="Verdana"/>
          <w:sz w:val="20"/>
          <w:szCs w:val="20"/>
        </w:rPr>
        <w:t>Mittlerweile kam als vierter Referenzpunkt die Fähigkeit hinzu, mit anderen Staaten in politischen Kontakt zu treten, d.h. ein Völkerrechtssubjekt zu sein. Es ist davon auszugehen, dass das 4. Kriterium sich als Resultante aus den anderen Referenzen ergibt.</w:t>
      </w:r>
    </w:p>
    <w:p w:rsidR="00C047AC" w:rsidRDefault="00C047AC" w:rsidP="00C047AC">
      <w:pPr>
        <w:pStyle w:val="KeinLeerraum"/>
        <w:rPr>
          <w:rFonts w:ascii="Verdana" w:hAnsi="Verdana"/>
          <w:i/>
          <w:sz w:val="20"/>
          <w:szCs w:val="20"/>
        </w:rPr>
      </w:pPr>
    </w:p>
    <w:p w:rsidR="003362CE" w:rsidRPr="00C047AC" w:rsidRDefault="003362CE" w:rsidP="00C047AC">
      <w:pPr>
        <w:pStyle w:val="KeinLeerraum"/>
        <w:rPr>
          <w:rFonts w:ascii="Verdana" w:hAnsi="Verdana"/>
          <w:sz w:val="20"/>
          <w:szCs w:val="20"/>
        </w:rPr>
      </w:pPr>
      <w:r w:rsidRPr="00C047AC">
        <w:rPr>
          <w:rFonts w:ascii="Verdana" w:hAnsi="Verdana"/>
          <w:i/>
          <w:sz w:val="20"/>
          <w:szCs w:val="20"/>
        </w:rPr>
        <w:t>Konklusion</w:t>
      </w:r>
      <w:r w:rsidRPr="00C047AC">
        <w:rPr>
          <w:rFonts w:ascii="Verdana" w:hAnsi="Verdana"/>
          <w:sz w:val="20"/>
          <w:szCs w:val="20"/>
        </w:rPr>
        <w:t xml:space="preserve">: </w:t>
      </w:r>
      <w:r w:rsidRPr="00C047AC">
        <w:rPr>
          <w:rFonts w:ascii="Verdana" w:hAnsi="Verdana"/>
          <w:b/>
          <w:sz w:val="20"/>
          <w:szCs w:val="20"/>
        </w:rPr>
        <w:t>Die EU ist definitiv kein Staat</w:t>
      </w:r>
      <w:r w:rsidRPr="00C047AC">
        <w:rPr>
          <w:rFonts w:ascii="Verdana" w:hAnsi="Verdana"/>
          <w:sz w:val="20"/>
          <w:szCs w:val="20"/>
        </w:rPr>
        <w:t>. Stattdessen vielleicht: Nationalitätenstaat.</w:t>
      </w:r>
    </w:p>
    <w:p w:rsidR="00703A01" w:rsidRPr="00C047AC" w:rsidRDefault="00703A01" w:rsidP="00C047AC">
      <w:pPr>
        <w:pStyle w:val="KeinLeerraum"/>
        <w:rPr>
          <w:rFonts w:ascii="Verdana" w:hAnsi="Verdana"/>
          <w:sz w:val="20"/>
          <w:szCs w:val="20"/>
        </w:rPr>
      </w:pPr>
      <w:r w:rsidRPr="00C047AC">
        <w:rPr>
          <w:rFonts w:ascii="Verdana" w:hAnsi="Verdana"/>
          <w:sz w:val="20"/>
          <w:szCs w:val="20"/>
        </w:rPr>
        <w:t xml:space="preserve">Durch Delegation von nationalen Kompetenzen sich öffnende Handlungslücken werden von der EU geschlossen, welche sie mit </w:t>
      </w:r>
      <w:r w:rsidRPr="00C047AC">
        <w:rPr>
          <w:rFonts w:ascii="Verdana" w:hAnsi="Verdana"/>
          <w:i/>
          <w:sz w:val="20"/>
          <w:szCs w:val="20"/>
        </w:rPr>
        <w:t>ihrem</w:t>
      </w:r>
      <w:r w:rsidRPr="00C047AC">
        <w:rPr>
          <w:rFonts w:ascii="Verdana" w:hAnsi="Verdana"/>
          <w:sz w:val="20"/>
          <w:szCs w:val="20"/>
        </w:rPr>
        <w:t xml:space="preserve"> autonomen Rechtssystem und mithin von den Mitgliedstaaten zugestandenen Paradigmen schließt. Es besteht keine (vertikale Ordnung) Überordnung der EU gegenüber dem Staat, sondern eine horizontale </w:t>
      </w:r>
      <w:r w:rsidRPr="00C047AC">
        <w:rPr>
          <w:rFonts w:ascii="Verdana" w:hAnsi="Verdana"/>
          <w:i/>
          <w:sz w:val="20"/>
          <w:szCs w:val="20"/>
        </w:rPr>
        <w:t>Substituierung</w:t>
      </w:r>
      <w:r w:rsidRPr="00C047AC">
        <w:rPr>
          <w:rFonts w:ascii="Verdana" w:hAnsi="Verdana"/>
          <w:sz w:val="20"/>
          <w:szCs w:val="20"/>
        </w:rPr>
        <w:t xml:space="preserve"> von Kompetenzen.</w:t>
      </w:r>
    </w:p>
    <w:p w:rsidR="00C047AC" w:rsidRDefault="00C047AC" w:rsidP="00C047AC">
      <w:pPr>
        <w:pStyle w:val="KeinLeerraum"/>
        <w:rPr>
          <w:rFonts w:ascii="Verdana" w:hAnsi="Verdana"/>
          <w:sz w:val="20"/>
          <w:szCs w:val="20"/>
        </w:rPr>
      </w:pPr>
    </w:p>
    <w:p w:rsidR="00703A01" w:rsidRPr="00C047AC" w:rsidRDefault="00703A01" w:rsidP="00C047AC">
      <w:pPr>
        <w:pStyle w:val="KeinLeerraum"/>
        <w:rPr>
          <w:rFonts w:ascii="Verdana" w:hAnsi="Verdana"/>
          <w:sz w:val="20"/>
          <w:szCs w:val="20"/>
        </w:rPr>
      </w:pPr>
      <w:r w:rsidRPr="00C047AC">
        <w:rPr>
          <w:rFonts w:ascii="Verdana" w:hAnsi="Verdana"/>
          <w:sz w:val="20"/>
          <w:szCs w:val="20"/>
        </w:rPr>
        <w:t xml:space="preserve">Das immer wieder sichtbare Unterfangen, zum Beispiel den </w:t>
      </w:r>
      <w:r w:rsidRPr="00C047AC">
        <w:rPr>
          <w:rFonts w:ascii="Verdana" w:hAnsi="Verdana"/>
          <w:i/>
          <w:sz w:val="20"/>
          <w:szCs w:val="20"/>
        </w:rPr>
        <w:t>demokratischen</w:t>
      </w:r>
      <w:r w:rsidRPr="00C047AC">
        <w:rPr>
          <w:rFonts w:ascii="Verdana" w:hAnsi="Verdana"/>
          <w:sz w:val="20"/>
          <w:szCs w:val="20"/>
        </w:rPr>
        <w:t xml:space="preserve"> Charakter der EU mit dem „methodologischen Nationalismus“ zu vollziehen, ist daher grundlegend abzulehnen. Demokratische Institutionen, die so genannte </w:t>
      </w:r>
      <w:r w:rsidRPr="00C047AC">
        <w:rPr>
          <w:rFonts w:ascii="Verdana" w:hAnsi="Verdana"/>
          <w:i/>
          <w:sz w:val="20"/>
          <w:szCs w:val="20"/>
        </w:rPr>
        <w:t>Input</w:t>
      </w:r>
      <w:r w:rsidRPr="00C047AC">
        <w:rPr>
          <w:rFonts w:ascii="Verdana" w:hAnsi="Verdana"/>
          <w:sz w:val="20"/>
          <w:szCs w:val="20"/>
        </w:rPr>
        <w:t xml:space="preserve">-Legitimation, lässt sich nur im Kontext des </w:t>
      </w:r>
      <w:proofErr w:type="spellStart"/>
      <w:r w:rsidRPr="00C047AC">
        <w:rPr>
          <w:rFonts w:ascii="Verdana" w:hAnsi="Verdana"/>
          <w:sz w:val="20"/>
          <w:szCs w:val="20"/>
        </w:rPr>
        <w:t>Mehrebenensystems</w:t>
      </w:r>
      <w:proofErr w:type="spellEnd"/>
      <w:r w:rsidRPr="00C047AC">
        <w:rPr>
          <w:rFonts w:ascii="Verdana" w:hAnsi="Verdana"/>
          <w:sz w:val="20"/>
          <w:szCs w:val="20"/>
        </w:rPr>
        <w:t xml:space="preserve"> (Multi-Level-System) angemessen bewerten. </w:t>
      </w:r>
      <w:r w:rsidRPr="00C047AC">
        <w:rPr>
          <w:rFonts w:ascii="Verdana" w:hAnsi="Verdana"/>
          <w:b/>
          <w:sz w:val="20"/>
          <w:szCs w:val="20"/>
        </w:rPr>
        <w:t xml:space="preserve">Als ökonomisches Regime hat sich die EU über eine gezielte </w:t>
      </w:r>
      <w:r w:rsidRPr="00C047AC">
        <w:rPr>
          <w:rFonts w:ascii="Verdana" w:hAnsi="Verdana"/>
          <w:b/>
          <w:i/>
          <w:sz w:val="20"/>
          <w:szCs w:val="20"/>
        </w:rPr>
        <w:t>Output</w:t>
      </w:r>
      <w:r w:rsidRPr="00C047AC">
        <w:rPr>
          <w:rFonts w:ascii="Verdana" w:hAnsi="Verdana"/>
          <w:b/>
          <w:sz w:val="20"/>
          <w:szCs w:val="20"/>
        </w:rPr>
        <w:t>-Legitimation (Nutzenmaximierung) zu bewähren</w:t>
      </w:r>
      <w:r w:rsidRPr="00C047AC">
        <w:rPr>
          <w:rFonts w:ascii="Verdana" w:hAnsi="Verdana"/>
          <w:sz w:val="20"/>
          <w:szCs w:val="20"/>
        </w:rPr>
        <w:t>. Die Verteilung von Nutzen ist offen.</w:t>
      </w:r>
    </w:p>
    <w:p w:rsidR="00C047AC" w:rsidRDefault="00C047AC" w:rsidP="00C047AC">
      <w:pPr>
        <w:pStyle w:val="KeinLeerraum"/>
        <w:rPr>
          <w:rFonts w:ascii="Verdana" w:hAnsi="Verdana"/>
          <w:sz w:val="20"/>
          <w:szCs w:val="20"/>
        </w:rPr>
      </w:pPr>
    </w:p>
    <w:p w:rsidR="00703A01" w:rsidRPr="00C047AC" w:rsidRDefault="00703A01" w:rsidP="00C047AC">
      <w:pPr>
        <w:pStyle w:val="KeinLeerraum"/>
        <w:rPr>
          <w:rFonts w:ascii="Verdana" w:hAnsi="Verdana"/>
          <w:sz w:val="20"/>
          <w:szCs w:val="20"/>
        </w:rPr>
      </w:pPr>
      <w:r w:rsidRPr="00C047AC">
        <w:rPr>
          <w:rFonts w:ascii="Verdana" w:hAnsi="Verdana"/>
          <w:sz w:val="20"/>
          <w:szCs w:val="20"/>
        </w:rPr>
        <w:t xml:space="preserve">EU-Organe können keine formalen Steuerungskompetenzen ausüben. Sie können diese nur materiell vorbereiten. </w:t>
      </w:r>
      <w:r w:rsidRPr="00101E10">
        <w:rPr>
          <w:rFonts w:ascii="Verdana" w:hAnsi="Verdana"/>
          <w:b/>
          <w:sz w:val="20"/>
          <w:szCs w:val="20"/>
        </w:rPr>
        <w:t>Die formale Verantwortung bzw. die Letztentscheidung liegt beim Nationalstaat</w:t>
      </w:r>
      <w:r w:rsidRPr="00C047AC">
        <w:rPr>
          <w:rFonts w:ascii="Verdana" w:hAnsi="Verdana"/>
          <w:sz w:val="20"/>
          <w:szCs w:val="20"/>
        </w:rPr>
        <w:t xml:space="preserve">. Allerdings sollten diese </w:t>
      </w:r>
      <w:proofErr w:type="spellStart"/>
      <w:r w:rsidRPr="00C047AC">
        <w:rPr>
          <w:rFonts w:ascii="Verdana" w:hAnsi="Verdana"/>
          <w:sz w:val="20"/>
          <w:szCs w:val="20"/>
        </w:rPr>
        <w:t>Governance</w:t>
      </w:r>
      <w:proofErr w:type="spellEnd"/>
      <w:r w:rsidRPr="00C047AC">
        <w:rPr>
          <w:rFonts w:ascii="Verdana" w:hAnsi="Verdana"/>
          <w:sz w:val="20"/>
          <w:szCs w:val="20"/>
        </w:rPr>
        <w:t>-Modi nicht mit „weichen“ Formen der Steuerung und Koordination gleichgesetzt werden, da sie vielfach in hierarchische Strukturen (</w:t>
      </w:r>
      <w:proofErr w:type="spellStart"/>
      <w:r w:rsidRPr="00C047AC">
        <w:rPr>
          <w:rFonts w:ascii="Verdana" w:hAnsi="Verdana"/>
          <w:sz w:val="20"/>
          <w:szCs w:val="20"/>
        </w:rPr>
        <w:t>Mehrebenensystem</w:t>
      </w:r>
      <w:proofErr w:type="spellEnd"/>
      <w:r w:rsidRPr="00C047AC">
        <w:rPr>
          <w:rFonts w:ascii="Verdana" w:hAnsi="Verdana"/>
          <w:sz w:val="20"/>
          <w:szCs w:val="20"/>
        </w:rPr>
        <w:t>, Kooperation mit nationalen Institutionen) eingebettet sind</w:t>
      </w:r>
      <w:r w:rsidR="00101E10">
        <w:rPr>
          <w:rFonts w:ascii="Verdana" w:hAnsi="Verdana"/>
          <w:sz w:val="20"/>
          <w:szCs w:val="20"/>
        </w:rPr>
        <w:t>.</w:t>
      </w:r>
    </w:p>
    <w:p w:rsidR="00703A01" w:rsidRPr="003362CE" w:rsidRDefault="00703A01" w:rsidP="003362CE">
      <w:pPr>
        <w:spacing w:line="360" w:lineRule="auto"/>
        <w:jc w:val="both"/>
        <w:rPr>
          <w:bCs/>
        </w:rPr>
      </w:pPr>
    </w:p>
    <w:p w:rsidR="007D17F3" w:rsidRPr="007D17F3" w:rsidRDefault="007D17F3"/>
    <w:sectPr w:rsidR="007D17F3" w:rsidRPr="007D1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06C"/>
    <w:multiLevelType w:val="hybridMultilevel"/>
    <w:tmpl w:val="A58A34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2B2404"/>
    <w:multiLevelType w:val="hybridMultilevel"/>
    <w:tmpl w:val="C6124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9C45FD"/>
    <w:multiLevelType w:val="hybridMultilevel"/>
    <w:tmpl w:val="B28AD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1B6DA8"/>
    <w:multiLevelType w:val="hybridMultilevel"/>
    <w:tmpl w:val="DC26485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E0480"/>
    <w:multiLevelType w:val="hybridMultilevel"/>
    <w:tmpl w:val="50543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EB07E0"/>
    <w:multiLevelType w:val="singleLevel"/>
    <w:tmpl w:val="74D22302"/>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2E"/>
    <w:rsid w:val="00101E10"/>
    <w:rsid w:val="00195415"/>
    <w:rsid w:val="001E0B7C"/>
    <w:rsid w:val="0023014D"/>
    <w:rsid w:val="002A12D2"/>
    <w:rsid w:val="002B1A2E"/>
    <w:rsid w:val="00305FDA"/>
    <w:rsid w:val="003362CE"/>
    <w:rsid w:val="0038345A"/>
    <w:rsid w:val="00472844"/>
    <w:rsid w:val="00474A07"/>
    <w:rsid w:val="00486D07"/>
    <w:rsid w:val="00703A01"/>
    <w:rsid w:val="00767AF0"/>
    <w:rsid w:val="007800F6"/>
    <w:rsid w:val="007D17F3"/>
    <w:rsid w:val="00876CD2"/>
    <w:rsid w:val="008B2973"/>
    <w:rsid w:val="008F5C73"/>
    <w:rsid w:val="00942E82"/>
    <w:rsid w:val="0094592A"/>
    <w:rsid w:val="00995411"/>
    <w:rsid w:val="00A0276D"/>
    <w:rsid w:val="00A42467"/>
    <w:rsid w:val="00B450DF"/>
    <w:rsid w:val="00BB78B1"/>
    <w:rsid w:val="00C047AC"/>
    <w:rsid w:val="00C36370"/>
    <w:rsid w:val="00DC2309"/>
    <w:rsid w:val="00E426DC"/>
    <w:rsid w:val="00F41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61AD6-BC2B-42E5-A21C-FD5DEB51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67AF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paragraph" w:styleId="berschrift3">
    <w:name w:val="heading 3"/>
    <w:basedOn w:val="Standard"/>
    <w:next w:val="Standard"/>
    <w:link w:val="berschrift3Zchn"/>
    <w:uiPriority w:val="9"/>
    <w:unhideWhenUsed/>
    <w:qFormat/>
    <w:rsid w:val="00DC2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link w:val="berschrift6Zchn"/>
    <w:uiPriority w:val="9"/>
    <w:unhideWhenUsed/>
    <w:qFormat/>
    <w:rsid w:val="003362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7AF0"/>
    <w:rPr>
      <w:rFonts w:asciiTheme="majorHAnsi" w:eastAsiaTheme="majorEastAsia" w:hAnsiTheme="majorHAnsi" w:cstheme="majorBidi"/>
      <w:color w:val="2E74B5" w:themeColor="accent1" w:themeShade="BF"/>
      <w:sz w:val="32"/>
      <w:szCs w:val="32"/>
      <w:lang w:eastAsia="de-DE"/>
    </w:rPr>
  </w:style>
  <w:style w:type="paragraph" w:styleId="Listenabsatz">
    <w:name w:val="List Paragraph"/>
    <w:basedOn w:val="Standard"/>
    <w:uiPriority w:val="34"/>
    <w:qFormat/>
    <w:rsid w:val="00767AF0"/>
    <w:pPr>
      <w:ind w:left="720"/>
      <w:contextualSpacing/>
    </w:pPr>
  </w:style>
  <w:style w:type="paragraph" w:styleId="KeinLeerraum">
    <w:name w:val="No Spacing"/>
    <w:uiPriority w:val="1"/>
    <w:qFormat/>
    <w:rsid w:val="00942E82"/>
    <w:pPr>
      <w:spacing w:after="0" w:line="240" w:lineRule="auto"/>
    </w:pPr>
  </w:style>
  <w:style w:type="paragraph" w:styleId="Textkrper2">
    <w:name w:val="Body Text 2"/>
    <w:basedOn w:val="Standard"/>
    <w:link w:val="Textkrper2Zchn"/>
    <w:rsid w:val="00B450DF"/>
    <w:pPr>
      <w:spacing w:after="0" w:line="240" w:lineRule="auto"/>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B450DF"/>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uiPriority w:val="9"/>
    <w:rsid w:val="00DC2309"/>
    <w:rPr>
      <w:rFonts w:asciiTheme="majorHAnsi" w:eastAsiaTheme="majorEastAsia" w:hAnsiTheme="majorHAnsi" w:cstheme="majorBidi"/>
      <w:color w:val="1F4D78" w:themeColor="accent1" w:themeShade="7F"/>
      <w:sz w:val="24"/>
      <w:szCs w:val="24"/>
    </w:rPr>
  </w:style>
  <w:style w:type="character" w:customStyle="1" w:styleId="berschrift6Zchn">
    <w:name w:val="Überschrift 6 Zchn"/>
    <w:basedOn w:val="Absatz-Standardschriftart"/>
    <w:link w:val="berschrift6"/>
    <w:uiPriority w:val="9"/>
    <w:rsid w:val="003362CE"/>
    <w:rPr>
      <w:rFonts w:asciiTheme="majorHAnsi" w:eastAsiaTheme="majorEastAsia" w:hAnsiTheme="majorHAnsi" w:cstheme="majorBidi"/>
      <w:color w:val="1F4D78" w:themeColor="accent1" w:themeShade="7F"/>
    </w:rPr>
  </w:style>
  <w:style w:type="paragraph" w:styleId="Sprechblasentext">
    <w:name w:val="Balloon Text"/>
    <w:basedOn w:val="Standard"/>
    <w:link w:val="SprechblasentextZchn"/>
    <w:uiPriority w:val="99"/>
    <w:semiHidden/>
    <w:unhideWhenUsed/>
    <w:rsid w:val="00486D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14440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9</cp:revision>
  <cp:lastPrinted>2018-07-21T14:25:00Z</cp:lastPrinted>
  <dcterms:created xsi:type="dcterms:W3CDTF">2018-07-11T22:18:00Z</dcterms:created>
  <dcterms:modified xsi:type="dcterms:W3CDTF">2018-07-27T22:01:00Z</dcterms:modified>
</cp:coreProperties>
</file>