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D0" w:rsidRDefault="006618D0" w:rsidP="006618D0">
      <w:pPr>
        <w:pStyle w:val="berschrift1"/>
      </w:pPr>
      <w:r>
        <w:t>6. Strukturpolitik</w:t>
      </w:r>
    </w:p>
    <w:p w:rsidR="006618D0" w:rsidRPr="006618D0" w:rsidRDefault="006618D0">
      <w:pPr>
        <w:rPr>
          <w:rFonts w:ascii="Verdana" w:hAnsi="Verdana"/>
          <w:b/>
          <w:sz w:val="20"/>
          <w:szCs w:val="20"/>
          <w:u w:val="single"/>
        </w:rPr>
      </w:pPr>
      <w:r>
        <w:rPr>
          <w:rFonts w:ascii="Verdana" w:hAnsi="Verdana"/>
          <w:sz w:val="20"/>
          <w:szCs w:val="20"/>
        </w:rPr>
        <w:br/>
        <w:t xml:space="preserve">1. </w:t>
      </w:r>
      <w:r w:rsidRPr="006618D0">
        <w:rPr>
          <w:rFonts w:ascii="Verdana" w:hAnsi="Verdana"/>
          <w:b/>
          <w:sz w:val="20"/>
          <w:szCs w:val="20"/>
          <w:u w:val="single"/>
        </w:rPr>
        <w:t>Theoretische Einblicke zu Strukturmaßnahmen</w:t>
      </w:r>
    </w:p>
    <w:p w:rsidR="00B62121" w:rsidRDefault="006618D0" w:rsidP="00B62121">
      <w:pPr>
        <w:pStyle w:val="KeinLeerraum"/>
        <w:rPr>
          <w:rFonts w:ascii="Verdana" w:hAnsi="Verdana"/>
          <w:szCs w:val="20"/>
        </w:rPr>
      </w:pPr>
      <w:r w:rsidRPr="006618D0">
        <w:rPr>
          <w:rFonts w:ascii="Verdana" w:hAnsi="Verdana"/>
          <w:b/>
          <w:szCs w:val="20"/>
        </w:rPr>
        <w:t>Robert Solow</w:t>
      </w:r>
      <w:r w:rsidR="000D203F">
        <w:rPr>
          <w:rFonts w:ascii="Verdana" w:hAnsi="Verdana"/>
          <w:b/>
          <w:szCs w:val="20"/>
        </w:rPr>
        <w:t xml:space="preserve"> </w:t>
      </w:r>
      <w:r w:rsidR="000D203F" w:rsidRPr="000D203F">
        <w:rPr>
          <w:rFonts w:ascii="Verdana" w:hAnsi="Verdana"/>
          <w:szCs w:val="20"/>
        </w:rPr>
        <w:t>(Neokl</w:t>
      </w:r>
      <w:r w:rsidR="00B62121">
        <w:rPr>
          <w:rFonts w:ascii="Verdana" w:hAnsi="Verdana"/>
          <w:szCs w:val="20"/>
        </w:rPr>
        <w:t>assik</w:t>
      </w:r>
      <w:r w:rsidR="000D203F" w:rsidRPr="000D203F">
        <w:rPr>
          <w:rFonts w:ascii="Verdana" w:hAnsi="Verdana"/>
          <w:szCs w:val="20"/>
        </w:rPr>
        <w:t>)</w:t>
      </w:r>
      <w:r w:rsidRPr="000D203F">
        <w:rPr>
          <w:rFonts w:ascii="Verdana" w:hAnsi="Verdana"/>
          <w:szCs w:val="20"/>
        </w:rPr>
        <w:t>:</w:t>
      </w:r>
      <w:r w:rsidR="00B62121">
        <w:rPr>
          <w:rFonts w:ascii="Verdana" w:hAnsi="Verdana"/>
          <w:szCs w:val="20"/>
        </w:rPr>
        <w:t xml:space="preserve"> </w:t>
      </w:r>
      <w:r w:rsidR="00B62121" w:rsidRPr="00B62121">
        <w:rPr>
          <w:rFonts w:ascii="Verdana" w:hAnsi="Verdana"/>
          <w:sz w:val="20"/>
          <w:szCs w:val="20"/>
        </w:rPr>
        <w:t xml:space="preserve">abnehmende </w:t>
      </w:r>
      <w:proofErr w:type="spellStart"/>
      <w:r w:rsidR="00B62121" w:rsidRPr="00B62121">
        <w:rPr>
          <w:rFonts w:ascii="Verdana" w:hAnsi="Verdana"/>
          <w:sz w:val="20"/>
          <w:szCs w:val="20"/>
        </w:rPr>
        <w:t>Grenzproduktivitäten</w:t>
      </w:r>
      <w:proofErr w:type="spellEnd"/>
      <w:r w:rsidR="00B62121" w:rsidRPr="00B62121">
        <w:rPr>
          <w:rFonts w:ascii="Verdana" w:hAnsi="Verdana"/>
          <w:sz w:val="20"/>
          <w:szCs w:val="20"/>
        </w:rPr>
        <w:t xml:space="preserve"> (Skalenerträge) der Produktionsfaktoren Kapital und Arbeit.</w:t>
      </w:r>
      <w:r w:rsidR="00B62121" w:rsidRPr="004211CD">
        <w:t xml:space="preserve"> </w:t>
      </w:r>
      <w:r>
        <w:rPr>
          <w:rFonts w:ascii="Verdana" w:hAnsi="Verdana"/>
          <w:szCs w:val="20"/>
        </w:rPr>
        <w:t xml:space="preserve"> </w:t>
      </w:r>
    </w:p>
    <w:p w:rsidR="006618D0" w:rsidRDefault="00B62121">
      <w:pPr>
        <w:rPr>
          <w:rFonts w:ascii="Verdana" w:hAnsi="Verdana"/>
          <w:sz w:val="20"/>
          <w:szCs w:val="20"/>
        </w:rPr>
      </w:pPr>
      <w:r w:rsidRPr="00B62121">
        <w:rPr>
          <w:rFonts w:ascii="Verdana" w:hAnsi="Verdana"/>
          <w:sz w:val="20"/>
          <w:szCs w:val="20"/>
        </w:rPr>
        <w:sym w:font="Wingdings" w:char="F0E0"/>
      </w:r>
      <w:r w:rsidR="006618D0">
        <w:rPr>
          <w:rFonts w:ascii="Verdana" w:hAnsi="Verdana"/>
          <w:sz w:val="20"/>
          <w:szCs w:val="20"/>
        </w:rPr>
        <w:t>langfristiges Wirtschaftswachstum durch technischen Fortschritt.</w:t>
      </w:r>
    </w:p>
    <w:p w:rsidR="000D203F" w:rsidRDefault="000D203F">
      <w:pPr>
        <w:rPr>
          <w:rFonts w:ascii="Verdana" w:hAnsi="Verdana"/>
          <w:sz w:val="20"/>
          <w:szCs w:val="20"/>
        </w:rPr>
      </w:pPr>
      <w:r>
        <w:rPr>
          <w:rFonts w:ascii="Verdana" w:hAnsi="Verdana"/>
          <w:sz w:val="20"/>
          <w:szCs w:val="20"/>
        </w:rPr>
        <w:t xml:space="preserve">Bedarf es zur Erreichung der strukturpolitischen Ziele der EU eine </w:t>
      </w:r>
      <w:r w:rsidRPr="000D203F">
        <w:rPr>
          <w:rFonts w:ascii="Verdana" w:hAnsi="Verdana"/>
          <w:b/>
          <w:sz w:val="20"/>
          <w:szCs w:val="20"/>
        </w:rPr>
        <w:t>Umverteilung</w:t>
      </w:r>
      <w:r>
        <w:rPr>
          <w:rFonts w:ascii="Verdana" w:hAnsi="Verdana"/>
          <w:sz w:val="20"/>
          <w:szCs w:val="20"/>
        </w:rPr>
        <w:t>?</w:t>
      </w:r>
      <w:r>
        <w:rPr>
          <w:rFonts w:ascii="Verdana" w:hAnsi="Verdana"/>
          <w:sz w:val="20"/>
          <w:szCs w:val="20"/>
        </w:rPr>
        <w:br/>
      </w:r>
      <w:r w:rsidRPr="000D203F">
        <w:rPr>
          <w:rFonts w:ascii="Verdana" w:hAnsi="Verdana"/>
          <w:b/>
          <w:sz w:val="20"/>
          <w:szCs w:val="20"/>
        </w:rPr>
        <w:t>Konvergenzthese</w:t>
      </w:r>
      <w:r>
        <w:rPr>
          <w:rFonts w:ascii="Verdana" w:hAnsi="Verdana"/>
          <w:sz w:val="20"/>
          <w:szCs w:val="20"/>
        </w:rPr>
        <w:t xml:space="preserve">: Nein, Ländern entwickeln sich ohne </w:t>
      </w:r>
      <w:proofErr w:type="spellStart"/>
      <w:r>
        <w:rPr>
          <w:rFonts w:ascii="Verdana" w:hAnsi="Verdana"/>
          <w:sz w:val="20"/>
          <w:szCs w:val="20"/>
        </w:rPr>
        <w:t>st.</w:t>
      </w:r>
      <w:proofErr w:type="spellEnd"/>
      <w:r>
        <w:rPr>
          <w:rFonts w:ascii="Verdana" w:hAnsi="Verdana"/>
          <w:sz w:val="20"/>
          <w:szCs w:val="20"/>
        </w:rPr>
        <w:t xml:space="preserve"> Maßnahmen konvergent.</w:t>
      </w:r>
      <w:r>
        <w:rPr>
          <w:rFonts w:ascii="Verdana" w:hAnsi="Verdana"/>
          <w:sz w:val="20"/>
          <w:szCs w:val="20"/>
        </w:rPr>
        <w:br/>
      </w:r>
      <w:proofErr w:type="spellStart"/>
      <w:r w:rsidRPr="000D203F">
        <w:rPr>
          <w:rFonts w:ascii="Verdana" w:hAnsi="Verdana"/>
          <w:b/>
          <w:sz w:val="20"/>
          <w:szCs w:val="20"/>
        </w:rPr>
        <w:t>Divergenzthese</w:t>
      </w:r>
      <w:proofErr w:type="spellEnd"/>
      <w:r>
        <w:rPr>
          <w:rFonts w:ascii="Verdana" w:hAnsi="Verdana"/>
          <w:sz w:val="20"/>
          <w:szCs w:val="20"/>
        </w:rPr>
        <w:t xml:space="preserve">: Blaue Banane entwickelt sich </w:t>
      </w:r>
      <w:proofErr w:type="spellStart"/>
      <w:r>
        <w:rPr>
          <w:rFonts w:ascii="Verdana" w:hAnsi="Verdana"/>
          <w:sz w:val="20"/>
          <w:szCs w:val="20"/>
        </w:rPr>
        <w:t>zB</w:t>
      </w:r>
      <w:proofErr w:type="spellEnd"/>
      <w:r>
        <w:rPr>
          <w:rFonts w:ascii="Verdana" w:hAnsi="Verdana"/>
          <w:sz w:val="20"/>
          <w:szCs w:val="20"/>
        </w:rPr>
        <w:t xml:space="preserve"> nach Marktprinzipien divergent.</w:t>
      </w:r>
    </w:p>
    <w:p w:rsidR="00B62121" w:rsidRDefault="00B62121">
      <w:pPr>
        <w:rPr>
          <w:rFonts w:ascii="Verdana" w:hAnsi="Verdana"/>
          <w:sz w:val="20"/>
          <w:szCs w:val="20"/>
        </w:rPr>
      </w:pPr>
      <w:r w:rsidRPr="00B62121">
        <w:rPr>
          <w:rFonts w:ascii="Verdana" w:hAnsi="Verdana"/>
          <w:b/>
          <w:sz w:val="20"/>
          <w:szCs w:val="20"/>
        </w:rPr>
        <w:t>Neoklassik</w:t>
      </w:r>
      <w:r>
        <w:rPr>
          <w:rFonts w:ascii="Verdana" w:hAnsi="Verdana"/>
          <w:sz w:val="20"/>
          <w:szCs w:val="20"/>
        </w:rPr>
        <w:t>: ähnliche Volkswirtschaften werden sich einem ähnlichen Niveau annähern.</w:t>
      </w:r>
      <w:r>
        <w:rPr>
          <w:rFonts w:ascii="Verdana" w:hAnsi="Verdana"/>
          <w:sz w:val="20"/>
          <w:szCs w:val="20"/>
        </w:rPr>
        <w:br/>
      </w:r>
      <w:proofErr w:type="spellStart"/>
      <w:r w:rsidRPr="00B62121">
        <w:rPr>
          <w:rFonts w:ascii="Verdana" w:hAnsi="Verdana"/>
          <w:b/>
          <w:sz w:val="20"/>
          <w:szCs w:val="20"/>
        </w:rPr>
        <w:t>Keynsianismus</w:t>
      </w:r>
      <w:proofErr w:type="spellEnd"/>
      <w:r>
        <w:rPr>
          <w:rFonts w:ascii="Verdana" w:hAnsi="Verdana"/>
          <w:sz w:val="20"/>
          <w:szCs w:val="20"/>
        </w:rPr>
        <w:t xml:space="preserve">: wohlfahrtspolitische Gründe legitimieren s Eingriffe (Richard </w:t>
      </w:r>
      <w:proofErr w:type="spellStart"/>
      <w:r>
        <w:rPr>
          <w:rFonts w:ascii="Verdana" w:hAnsi="Verdana"/>
          <w:sz w:val="20"/>
          <w:szCs w:val="20"/>
        </w:rPr>
        <w:t>Musgrave</w:t>
      </w:r>
      <w:proofErr w:type="spellEnd"/>
      <w:r>
        <w:rPr>
          <w:rFonts w:ascii="Verdana" w:hAnsi="Verdana"/>
          <w:sz w:val="20"/>
          <w:szCs w:val="20"/>
        </w:rPr>
        <w:t>)</w:t>
      </w:r>
    </w:p>
    <w:p w:rsidR="00B62121" w:rsidRPr="00B62121" w:rsidRDefault="00B62121">
      <w:r w:rsidRPr="00B62121">
        <w:rPr>
          <w:rFonts w:ascii="Verdana" w:hAnsi="Verdana"/>
          <w:sz w:val="20"/>
          <w:szCs w:val="20"/>
        </w:rPr>
        <w:sym w:font="Wingdings" w:char="F0E0"/>
      </w:r>
      <w:r w:rsidRPr="00B62121">
        <w:rPr>
          <w:rFonts w:ascii="Verdana" w:hAnsi="Verdana"/>
          <w:b/>
          <w:sz w:val="20"/>
          <w:szCs w:val="20"/>
        </w:rPr>
        <w:t>Trade-off</w:t>
      </w:r>
      <w:r w:rsidRPr="00B62121">
        <w:rPr>
          <w:rFonts w:ascii="Verdana" w:hAnsi="Verdana"/>
          <w:sz w:val="20"/>
          <w:szCs w:val="20"/>
        </w:rPr>
        <w:t xml:space="preserve">: </w:t>
      </w:r>
      <w:r w:rsidRPr="00B62121">
        <w:rPr>
          <w:rFonts w:ascii="Verdana" w:hAnsi="Verdana"/>
          <w:sz w:val="20"/>
          <w:szCs w:val="20"/>
        </w:rPr>
        <w:t>zwischen der Li</w:t>
      </w:r>
      <w:r w:rsidRPr="00B62121">
        <w:rPr>
          <w:rFonts w:ascii="Verdana" w:hAnsi="Verdana"/>
          <w:sz w:val="20"/>
          <w:szCs w:val="20"/>
        </w:rPr>
        <w:t>s</w:t>
      </w:r>
      <w:r w:rsidRPr="00B62121">
        <w:rPr>
          <w:rFonts w:ascii="Verdana" w:hAnsi="Verdana"/>
          <w:sz w:val="20"/>
          <w:szCs w:val="20"/>
        </w:rPr>
        <w:t xml:space="preserve">sabon-Strategie (Förderung der EU zur wettbewerbsfähigsten Region der Welt) und dem Kohäsionsziel </w:t>
      </w:r>
      <w:r w:rsidRPr="00B62121">
        <w:rPr>
          <w:rFonts w:ascii="Verdana" w:hAnsi="Verdana"/>
          <w:sz w:val="20"/>
          <w:szCs w:val="20"/>
        </w:rPr>
        <w:t>(Zusammenhalt) der EU.</w:t>
      </w:r>
    </w:p>
    <w:p w:rsidR="00600C69" w:rsidRDefault="00B62121">
      <w:pPr>
        <w:rPr>
          <w:rFonts w:ascii="Verdana" w:hAnsi="Verdana"/>
          <w:sz w:val="20"/>
          <w:szCs w:val="20"/>
        </w:rPr>
      </w:pPr>
      <w:r w:rsidRPr="00B62121">
        <w:rPr>
          <w:rFonts w:ascii="Verdana" w:hAnsi="Verdana"/>
          <w:b/>
          <w:sz w:val="20"/>
          <w:szCs w:val="20"/>
        </w:rPr>
        <w:t>Endogene Wachstumstheorie</w:t>
      </w:r>
      <w:r>
        <w:rPr>
          <w:rFonts w:ascii="Verdana" w:hAnsi="Verdana"/>
          <w:sz w:val="20"/>
          <w:szCs w:val="20"/>
        </w:rPr>
        <w:t xml:space="preserve">: </w:t>
      </w:r>
      <w:r w:rsidR="00600C69">
        <w:rPr>
          <w:rFonts w:ascii="Verdana" w:hAnsi="Verdana"/>
          <w:sz w:val="20"/>
          <w:szCs w:val="20"/>
        </w:rPr>
        <w:t>Wachstums durch modellendogene Einflüsse.</w:t>
      </w:r>
      <w:r w:rsidR="00600C69">
        <w:rPr>
          <w:rFonts w:ascii="Verdana" w:hAnsi="Verdana"/>
          <w:sz w:val="20"/>
          <w:szCs w:val="20"/>
        </w:rPr>
        <w:br/>
        <w:t>Neue geographische Theorie: Unternehmen zieht es dorthin, wo Unternehmen sind.</w:t>
      </w:r>
    </w:p>
    <w:p w:rsidR="00600C69" w:rsidRDefault="00600C69">
      <w:pPr>
        <w:rPr>
          <w:rFonts w:ascii="Verdana" w:hAnsi="Verdana"/>
          <w:sz w:val="20"/>
          <w:szCs w:val="20"/>
        </w:rPr>
      </w:pPr>
      <w:r>
        <w:rPr>
          <w:rFonts w:ascii="Verdana" w:hAnsi="Verdana"/>
          <w:sz w:val="20"/>
          <w:szCs w:val="20"/>
        </w:rPr>
        <w:t>-</w:t>
      </w:r>
    </w:p>
    <w:p w:rsidR="00600C69" w:rsidRPr="00600C69" w:rsidRDefault="00600C69" w:rsidP="00600C69">
      <w:pPr>
        <w:pStyle w:val="KeinLeerraum"/>
        <w:rPr>
          <w:rFonts w:ascii="Verdana" w:hAnsi="Verdana"/>
          <w:sz w:val="20"/>
          <w:szCs w:val="20"/>
        </w:rPr>
      </w:pPr>
      <w:r w:rsidRPr="00600C69">
        <w:rPr>
          <w:rFonts w:ascii="Verdana" w:hAnsi="Verdana"/>
          <w:sz w:val="20"/>
          <w:szCs w:val="20"/>
        </w:rPr>
        <w:t xml:space="preserve">2. </w:t>
      </w:r>
      <w:r w:rsidRPr="00600C69">
        <w:rPr>
          <w:rFonts w:ascii="Verdana" w:hAnsi="Verdana"/>
          <w:b/>
          <w:sz w:val="20"/>
          <w:szCs w:val="20"/>
          <w:u w:val="single"/>
        </w:rPr>
        <w:t>Aufgabe und Gegenstand der Strukturpolitik</w:t>
      </w:r>
    </w:p>
    <w:p w:rsidR="00600C69" w:rsidRDefault="00600C69" w:rsidP="00600C69">
      <w:pPr>
        <w:rPr>
          <w:rFonts w:ascii="Verdana" w:hAnsi="Verdana"/>
          <w:sz w:val="20"/>
          <w:szCs w:val="20"/>
        </w:rPr>
      </w:pPr>
      <w:r>
        <w:rPr>
          <w:rFonts w:ascii="Verdana" w:hAnsi="Verdana"/>
          <w:sz w:val="20"/>
          <w:szCs w:val="20"/>
        </w:rPr>
        <w:br/>
      </w:r>
      <w:r w:rsidRPr="00600C69">
        <w:rPr>
          <w:rFonts w:ascii="Verdana" w:hAnsi="Verdana"/>
          <w:b/>
          <w:sz w:val="20"/>
          <w:szCs w:val="20"/>
        </w:rPr>
        <w:t>Liberalismus vs. Interventionismus</w:t>
      </w:r>
      <w:r>
        <w:rPr>
          <w:rFonts w:ascii="Verdana" w:hAnsi="Verdana"/>
          <w:sz w:val="20"/>
          <w:szCs w:val="20"/>
        </w:rPr>
        <w:t xml:space="preserve">: Nach den </w:t>
      </w:r>
      <w:r w:rsidRPr="00600C69">
        <w:rPr>
          <w:rFonts w:ascii="Verdana" w:hAnsi="Verdana"/>
          <w:b/>
          <w:sz w:val="20"/>
          <w:szCs w:val="20"/>
        </w:rPr>
        <w:t>römischen Verträgen</w:t>
      </w:r>
      <w:r>
        <w:rPr>
          <w:rFonts w:ascii="Verdana" w:hAnsi="Verdana"/>
          <w:sz w:val="20"/>
          <w:szCs w:val="20"/>
        </w:rPr>
        <w:t xml:space="preserve"> bestand das zentrale Anliegen der EU ein freier Binnenmarkt. Gleichzeitig </w:t>
      </w:r>
      <w:r w:rsidRPr="00597709">
        <w:rPr>
          <w:rFonts w:ascii="Verdana" w:hAnsi="Verdana"/>
          <w:i/>
          <w:sz w:val="20"/>
          <w:szCs w:val="20"/>
        </w:rPr>
        <w:t>Präambel</w:t>
      </w:r>
      <w:r w:rsidRPr="00600C69">
        <w:rPr>
          <w:rFonts w:ascii="Verdana" w:hAnsi="Verdana"/>
          <w:sz w:val="20"/>
          <w:szCs w:val="20"/>
        </w:rPr>
        <w:t xml:space="preserve"> </w:t>
      </w:r>
      <w:r w:rsidR="00597709">
        <w:rPr>
          <w:rFonts w:ascii="Verdana" w:hAnsi="Verdana"/>
          <w:sz w:val="20"/>
          <w:szCs w:val="20"/>
        </w:rPr>
        <w:t xml:space="preserve">im </w:t>
      </w:r>
      <w:r w:rsidR="00597709" w:rsidRPr="00597709">
        <w:rPr>
          <w:rFonts w:ascii="Verdana" w:hAnsi="Verdana"/>
          <w:b/>
          <w:sz w:val="20"/>
          <w:szCs w:val="20"/>
        </w:rPr>
        <w:t>EWG-Vertrag</w:t>
      </w:r>
      <w:r w:rsidR="00597709">
        <w:rPr>
          <w:rFonts w:ascii="Verdana" w:hAnsi="Verdana"/>
          <w:sz w:val="20"/>
          <w:szCs w:val="20"/>
        </w:rPr>
        <w:t xml:space="preserve"> </w:t>
      </w:r>
      <w:r w:rsidRPr="00600C69">
        <w:rPr>
          <w:rFonts w:ascii="Verdana" w:hAnsi="Verdana"/>
          <w:sz w:val="20"/>
          <w:szCs w:val="20"/>
        </w:rPr>
        <w:t>mit der Intention, die „Volkswirtschaften zu ein</w:t>
      </w:r>
      <w:r w:rsidRPr="00600C69">
        <w:rPr>
          <w:rFonts w:ascii="Verdana" w:hAnsi="Verdana"/>
          <w:sz w:val="20"/>
          <w:szCs w:val="20"/>
        </w:rPr>
        <w:t>i</w:t>
      </w:r>
      <w:r w:rsidRPr="00600C69">
        <w:rPr>
          <w:rFonts w:ascii="Verdana" w:hAnsi="Verdana"/>
          <w:sz w:val="20"/>
          <w:szCs w:val="20"/>
        </w:rPr>
        <w:t>gen und deren harm</w:t>
      </w:r>
      <w:r w:rsidRPr="00600C69">
        <w:rPr>
          <w:rFonts w:ascii="Verdana" w:hAnsi="Verdana"/>
          <w:sz w:val="20"/>
          <w:szCs w:val="20"/>
        </w:rPr>
        <w:t>o</w:t>
      </w:r>
      <w:r w:rsidRPr="00600C69">
        <w:rPr>
          <w:rFonts w:ascii="Verdana" w:hAnsi="Verdana"/>
          <w:sz w:val="20"/>
          <w:szCs w:val="20"/>
        </w:rPr>
        <w:t>nische Entwicklung zu fördern, indem sie den Abstand zwischen einzelnen Gebieten und den Rückstand weniger begünstigter Gebiete verringern“.</w:t>
      </w:r>
    </w:p>
    <w:p w:rsidR="00597709" w:rsidRDefault="00597709" w:rsidP="00600C69">
      <w:pPr>
        <w:rPr>
          <w:rFonts w:ascii="Verdana" w:hAnsi="Verdana"/>
          <w:sz w:val="20"/>
          <w:szCs w:val="20"/>
        </w:rPr>
      </w:pPr>
      <w:r>
        <w:rPr>
          <w:rFonts w:ascii="Verdana" w:hAnsi="Verdana"/>
          <w:sz w:val="20"/>
          <w:szCs w:val="20"/>
        </w:rPr>
        <w:t>-</w:t>
      </w:r>
    </w:p>
    <w:p w:rsidR="00597709" w:rsidRPr="00597709" w:rsidRDefault="00597709" w:rsidP="00597709">
      <w:pPr>
        <w:pStyle w:val="KeinLeerraum"/>
        <w:rPr>
          <w:rFonts w:ascii="Verdana" w:hAnsi="Verdana"/>
          <w:sz w:val="20"/>
          <w:szCs w:val="20"/>
        </w:rPr>
      </w:pPr>
      <w:r w:rsidRPr="00597709">
        <w:rPr>
          <w:rFonts w:ascii="Verdana" w:hAnsi="Verdana"/>
          <w:sz w:val="20"/>
          <w:szCs w:val="20"/>
        </w:rPr>
        <w:t xml:space="preserve">3. </w:t>
      </w:r>
      <w:r w:rsidRPr="00597709">
        <w:rPr>
          <w:rFonts w:ascii="Verdana" w:hAnsi="Verdana"/>
          <w:b/>
          <w:sz w:val="20"/>
          <w:szCs w:val="20"/>
          <w:u w:val="single"/>
        </w:rPr>
        <w:t>Normativer Gegenstand der Strukturpolitik</w:t>
      </w:r>
      <w:r w:rsidRPr="00597709">
        <w:rPr>
          <w:rFonts w:ascii="Verdana" w:hAnsi="Verdana"/>
          <w:sz w:val="20"/>
          <w:szCs w:val="20"/>
        </w:rPr>
        <w:t xml:space="preserve">  (distributive Politik)</w:t>
      </w:r>
    </w:p>
    <w:p w:rsidR="001A48A4" w:rsidRDefault="00597709" w:rsidP="001A48A4">
      <w:pPr>
        <w:pStyle w:val="KeinLeerraum"/>
        <w:rPr>
          <w:rFonts w:ascii="Verdana" w:hAnsi="Verdana"/>
          <w:sz w:val="20"/>
          <w:szCs w:val="20"/>
        </w:rPr>
      </w:pPr>
      <w:r w:rsidRPr="00597709">
        <w:rPr>
          <w:rFonts w:ascii="Verdana" w:hAnsi="Verdana"/>
          <w:sz w:val="20"/>
          <w:szCs w:val="20"/>
        </w:rPr>
        <w:br/>
      </w:r>
      <w:r>
        <w:rPr>
          <w:rFonts w:ascii="Verdana" w:hAnsi="Verdana"/>
          <w:b/>
          <w:sz w:val="20"/>
          <w:szCs w:val="20"/>
        </w:rPr>
        <w:t>EU-</w:t>
      </w:r>
      <w:r w:rsidRPr="00597709">
        <w:rPr>
          <w:rFonts w:ascii="Verdana" w:hAnsi="Verdana"/>
          <w:b/>
          <w:sz w:val="20"/>
          <w:szCs w:val="20"/>
        </w:rPr>
        <w:t>Strukturpolitik</w:t>
      </w:r>
      <w:r>
        <w:rPr>
          <w:rFonts w:ascii="Verdana" w:hAnsi="Verdana"/>
          <w:sz w:val="20"/>
          <w:szCs w:val="20"/>
        </w:rPr>
        <w:t xml:space="preserve">: Alle Maßnahmen auf EU-Ebene, mit denen durch Strukturfonds </w:t>
      </w:r>
      <w:proofErr w:type="spellStart"/>
      <w:r>
        <w:rPr>
          <w:rFonts w:ascii="Verdana" w:hAnsi="Verdana"/>
          <w:sz w:val="20"/>
          <w:szCs w:val="20"/>
        </w:rPr>
        <w:t>u.ä.</w:t>
      </w:r>
      <w:proofErr w:type="spellEnd"/>
      <w:r>
        <w:rPr>
          <w:rFonts w:ascii="Verdana" w:hAnsi="Verdana"/>
          <w:sz w:val="20"/>
          <w:szCs w:val="20"/>
        </w:rPr>
        <w:t xml:space="preserve"> der wirtschaftliche und soziale Zusammenhalt ohne Gegenleistung gestärkt wird.</w:t>
      </w:r>
      <w:r w:rsidR="001A48A4">
        <w:rPr>
          <w:rFonts w:ascii="Verdana" w:hAnsi="Verdana"/>
          <w:sz w:val="20"/>
          <w:szCs w:val="20"/>
        </w:rPr>
        <w:br/>
      </w:r>
      <w:r w:rsidR="001A48A4" w:rsidRPr="001A48A4">
        <w:rPr>
          <w:rFonts w:ascii="Verdana" w:hAnsi="Verdana"/>
          <w:sz w:val="20"/>
          <w:szCs w:val="20"/>
        </w:rPr>
        <w:sym w:font="Wingdings" w:char="F0E0"/>
      </w:r>
      <w:r w:rsidR="001A48A4" w:rsidRPr="001A48A4">
        <w:rPr>
          <w:rFonts w:ascii="Verdana" w:hAnsi="Verdana"/>
          <w:b/>
          <w:sz w:val="20"/>
          <w:szCs w:val="20"/>
        </w:rPr>
        <w:t>Ziel</w:t>
      </w:r>
      <w:r w:rsidR="001A48A4">
        <w:rPr>
          <w:rFonts w:ascii="Verdana" w:hAnsi="Verdana"/>
          <w:sz w:val="20"/>
          <w:szCs w:val="20"/>
        </w:rPr>
        <w:t>: „</w:t>
      </w:r>
      <w:r w:rsidR="001A48A4" w:rsidRPr="001A48A4">
        <w:rPr>
          <w:rFonts w:ascii="Verdana" w:hAnsi="Verdana"/>
          <w:sz w:val="20"/>
          <w:szCs w:val="20"/>
        </w:rPr>
        <w:t>die Unterschiede im Entwicklungsstand der verschiedenen Regionen und den Rückstand der am stärksten benachteiligten Gebiete zu verringern</w:t>
      </w:r>
      <w:r w:rsidR="001A48A4">
        <w:rPr>
          <w:rFonts w:ascii="Verdana" w:hAnsi="Verdana"/>
          <w:sz w:val="20"/>
          <w:szCs w:val="20"/>
        </w:rPr>
        <w:t>.</w:t>
      </w:r>
      <w:r w:rsidR="001A48A4" w:rsidRPr="001A48A4">
        <w:rPr>
          <w:rFonts w:ascii="Verdana" w:hAnsi="Verdana"/>
          <w:sz w:val="20"/>
          <w:szCs w:val="20"/>
        </w:rPr>
        <w:t>"</w:t>
      </w:r>
    </w:p>
    <w:p w:rsidR="00A021FC" w:rsidRDefault="00A021FC" w:rsidP="001A48A4">
      <w:pPr>
        <w:pStyle w:val="KeinLeerraum"/>
        <w:rPr>
          <w:rFonts w:ascii="Verdana" w:hAnsi="Verdana"/>
          <w:sz w:val="20"/>
          <w:szCs w:val="20"/>
        </w:rPr>
      </w:pPr>
    </w:p>
    <w:p w:rsidR="00A021FC" w:rsidRPr="00A021FC" w:rsidRDefault="00A021FC" w:rsidP="00A021FC">
      <w:pPr>
        <w:pStyle w:val="KeinLeerraum"/>
        <w:rPr>
          <w:rFonts w:ascii="Verdana" w:hAnsi="Verdana"/>
          <w:sz w:val="20"/>
          <w:szCs w:val="20"/>
        </w:rPr>
      </w:pPr>
      <w:r w:rsidRPr="00A021FC">
        <w:rPr>
          <w:rFonts w:ascii="Verdana" w:hAnsi="Verdana"/>
          <w:sz w:val="20"/>
          <w:szCs w:val="20"/>
        </w:rPr>
        <w:t>„Das distributive Ziel der</w:t>
      </w:r>
      <w:r w:rsidRPr="00A021FC">
        <w:rPr>
          <w:rFonts w:ascii="Verdana" w:hAnsi="Verdana"/>
          <w:b/>
          <w:sz w:val="20"/>
          <w:szCs w:val="20"/>
        </w:rPr>
        <w:t xml:space="preserve"> </w:t>
      </w:r>
      <w:r w:rsidRPr="00A021FC">
        <w:rPr>
          <w:rFonts w:ascii="Verdana" w:hAnsi="Verdana"/>
          <w:sz w:val="20"/>
          <w:szCs w:val="20"/>
        </w:rPr>
        <w:t>Kohäsion ist die allokative Stärkung endogener Wachstumspotentiale der geförderten Region (</w:t>
      </w:r>
      <w:proofErr w:type="spellStart"/>
      <w:r w:rsidRPr="00A021FC">
        <w:rPr>
          <w:rFonts w:ascii="Verdana" w:hAnsi="Verdana"/>
          <w:sz w:val="20"/>
          <w:szCs w:val="20"/>
        </w:rPr>
        <w:t>Brasche</w:t>
      </w:r>
      <w:proofErr w:type="spellEnd"/>
      <w:r w:rsidRPr="00A021FC">
        <w:rPr>
          <w:rFonts w:ascii="Verdana" w:hAnsi="Verdana"/>
          <w:sz w:val="20"/>
          <w:szCs w:val="20"/>
        </w:rPr>
        <w:t xml:space="preserve"> 2003, 270) und die Verringerung bestehender realwirtschaftlicher Disparitäten, wobei das ge</w:t>
      </w:r>
      <w:r w:rsidRPr="00A021FC">
        <w:rPr>
          <w:rFonts w:ascii="Verdana" w:hAnsi="Verdana"/>
          <w:sz w:val="20"/>
          <w:szCs w:val="20"/>
        </w:rPr>
        <w:t>o</w:t>
      </w:r>
      <w:r w:rsidRPr="00A021FC">
        <w:rPr>
          <w:rFonts w:ascii="Verdana" w:hAnsi="Verdana"/>
          <w:sz w:val="20"/>
          <w:szCs w:val="20"/>
        </w:rPr>
        <w:t xml:space="preserve">graphische Ziel dieser Politik die Regionen betroffener Mitgliedstaaten selber ist. Mit dem </w:t>
      </w:r>
      <w:r w:rsidRPr="00A021FC">
        <w:rPr>
          <w:rFonts w:ascii="Verdana" w:hAnsi="Verdana"/>
          <w:b/>
          <w:sz w:val="20"/>
          <w:szCs w:val="20"/>
        </w:rPr>
        <w:t>Vertrag von Liss</w:t>
      </w:r>
      <w:r w:rsidRPr="00A021FC">
        <w:rPr>
          <w:rFonts w:ascii="Verdana" w:hAnsi="Verdana"/>
          <w:b/>
          <w:sz w:val="20"/>
          <w:szCs w:val="20"/>
        </w:rPr>
        <w:t>a</w:t>
      </w:r>
      <w:r w:rsidRPr="00A021FC">
        <w:rPr>
          <w:rFonts w:ascii="Verdana" w:hAnsi="Verdana"/>
          <w:b/>
          <w:sz w:val="20"/>
          <w:szCs w:val="20"/>
        </w:rPr>
        <w:t>bon</w:t>
      </w:r>
      <w:r w:rsidRPr="00A021FC">
        <w:rPr>
          <w:rFonts w:ascii="Verdana" w:hAnsi="Verdana"/>
          <w:sz w:val="20"/>
          <w:szCs w:val="20"/>
        </w:rPr>
        <w:t xml:space="preserve"> erhielt die Förderung des territorialen Zusammenhalts die Form eines rechtlichen Gestaltungsau</w:t>
      </w:r>
      <w:r w:rsidRPr="00A021FC">
        <w:rPr>
          <w:rFonts w:ascii="Verdana" w:hAnsi="Verdana"/>
          <w:sz w:val="20"/>
          <w:szCs w:val="20"/>
        </w:rPr>
        <w:t>f</w:t>
      </w:r>
      <w:r w:rsidRPr="00A021FC">
        <w:rPr>
          <w:rFonts w:ascii="Verdana" w:hAnsi="Verdana"/>
          <w:sz w:val="20"/>
          <w:szCs w:val="20"/>
        </w:rPr>
        <w:t>trages.“</w:t>
      </w:r>
    </w:p>
    <w:p w:rsidR="001A48A4" w:rsidRDefault="001A48A4" w:rsidP="001A48A4">
      <w:pPr>
        <w:pStyle w:val="KeinLeerraum"/>
        <w:rPr>
          <w:rFonts w:ascii="Verdana" w:hAnsi="Verdana"/>
          <w:sz w:val="20"/>
          <w:szCs w:val="20"/>
        </w:rPr>
      </w:pPr>
    </w:p>
    <w:p w:rsidR="00033B9D" w:rsidRPr="00033B9D" w:rsidRDefault="00033B9D" w:rsidP="00033B9D">
      <w:pPr>
        <w:pStyle w:val="KeinLeerraum"/>
        <w:rPr>
          <w:rFonts w:ascii="Verdana" w:hAnsi="Verdana"/>
          <w:sz w:val="20"/>
          <w:szCs w:val="20"/>
        </w:rPr>
      </w:pPr>
      <w:r w:rsidRPr="00033B9D">
        <w:rPr>
          <w:rFonts w:ascii="Verdana" w:hAnsi="Verdana"/>
          <w:b/>
          <w:sz w:val="20"/>
          <w:szCs w:val="20"/>
        </w:rPr>
        <w:t>5 Prinzipien</w:t>
      </w:r>
      <w:r>
        <w:rPr>
          <w:rFonts w:ascii="Verdana" w:hAnsi="Verdana"/>
          <w:sz w:val="20"/>
          <w:szCs w:val="20"/>
        </w:rPr>
        <w:t xml:space="preserve"> der Strukturpolitik</w:t>
      </w:r>
      <w:r w:rsidRPr="00033B9D">
        <w:rPr>
          <w:rFonts w:ascii="Verdana" w:hAnsi="Verdana"/>
          <w:sz w:val="20"/>
          <w:szCs w:val="20"/>
        </w:rPr>
        <w:t>:</w:t>
      </w:r>
      <w:r w:rsidRPr="00033B9D">
        <w:rPr>
          <w:rFonts w:ascii="Verdana" w:hAnsi="Verdana"/>
          <w:sz w:val="20"/>
          <w:szCs w:val="20"/>
        </w:rPr>
        <w:br/>
      </w:r>
      <w:r w:rsidRPr="00033B9D">
        <w:rPr>
          <w:rFonts w:ascii="Verdana" w:hAnsi="Verdana"/>
          <w:b/>
          <w:sz w:val="20"/>
          <w:szCs w:val="20"/>
        </w:rPr>
        <w:t>1)</w:t>
      </w:r>
      <w:r w:rsidRPr="00033B9D">
        <w:rPr>
          <w:rFonts w:ascii="Verdana" w:hAnsi="Verdana"/>
          <w:sz w:val="20"/>
          <w:szCs w:val="20"/>
        </w:rPr>
        <w:t xml:space="preserve"> Solidaritätsprinzip steht im Vordergrund.</w:t>
      </w:r>
      <w:r w:rsidRPr="00033B9D">
        <w:rPr>
          <w:rFonts w:ascii="Verdana" w:hAnsi="Verdana"/>
          <w:sz w:val="20"/>
          <w:szCs w:val="20"/>
        </w:rPr>
        <w:br/>
      </w:r>
      <w:r w:rsidRPr="00033B9D">
        <w:rPr>
          <w:rFonts w:ascii="Verdana" w:hAnsi="Verdana"/>
          <w:b/>
          <w:sz w:val="20"/>
          <w:szCs w:val="20"/>
        </w:rPr>
        <w:t>2)</w:t>
      </w:r>
      <w:r w:rsidRPr="00033B9D">
        <w:rPr>
          <w:rFonts w:ascii="Verdana" w:hAnsi="Verdana"/>
          <w:sz w:val="20"/>
          <w:szCs w:val="20"/>
        </w:rPr>
        <w:t xml:space="preserve"> Konzentration der Mittel auf die am stärksten benachteiligten Regionen </w:t>
      </w:r>
      <w:r w:rsidRPr="00033B9D">
        <w:rPr>
          <w:rFonts w:ascii="Verdana" w:hAnsi="Verdana"/>
          <w:sz w:val="20"/>
          <w:szCs w:val="20"/>
        </w:rPr>
        <w:br/>
      </w:r>
      <w:r w:rsidRPr="00033B9D">
        <w:rPr>
          <w:rFonts w:ascii="Verdana" w:hAnsi="Verdana"/>
          <w:b/>
          <w:sz w:val="20"/>
          <w:szCs w:val="20"/>
        </w:rPr>
        <w:t>3)</w:t>
      </w:r>
      <w:r w:rsidRPr="00033B9D">
        <w:rPr>
          <w:rFonts w:ascii="Verdana" w:hAnsi="Verdana"/>
          <w:sz w:val="20"/>
          <w:szCs w:val="20"/>
        </w:rPr>
        <w:t xml:space="preserve"> Die Förderfähigkeit wird nach regionalem Pro-Kopf-BIP berechnet</w:t>
      </w:r>
      <w:r w:rsidRPr="00033B9D">
        <w:rPr>
          <w:rFonts w:ascii="Verdana" w:hAnsi="Verdana"/>
          <w:sz w:val="20"/>
          <w:szCs w:val="20"/>
        </w:rPr>
        <w:br/>
      </w:r>
      <w:r w:rsidRPr="00033B9D">
        <w:rPr>
          <w:rFonts w:ascii="Verdana" w:hAnsi="Verdana"/>
          <w:b/>
          <w:sz w:val="20"/>
          <w:szCs w:val="20"/>
        </w:rPr>
        <w:t>4)</w:t>
      </w:r>
      <w:r w:rsidRPr="00033B9D">
        <w:rPr>
          <w:rFonts w:ascii="Verdana" w:hAnsi="Verdana"/>
          <w:sz w:val="20"/>
          <w:szCs w:val="20"/>
        </w:rPr>
        <w:t xml:space="preserve"> Solidarität als Hilfe zur Selbsthilfe.</w:t>
      </w:r>
      <w:r w:rsidRPr="00033B9D">
        <w:rPr>
          <w:rFonts w:ascii="Verdana" w:hAnsi="Verdana"/>
          <w:sz w:val="20"/>
          <w:szCs w:val="20"/>
        </w:rPr>
        <w:br/>
      </w:r>
      <w:r w:rsidRPr="00033B9D">
        <w:rPr>
          <w:rFonts w:ascii="Verdana" w:hAnsi="Verdana"/>
          <w:b/>
          <w:sz w:val="20"/>
          <w:szCs w:val="20"/>
        </w:rPr>
        <w:t>5)</w:t>
      </w:r>
      <w:r w:rsidRPr="00033B9D">
        <w:rPr>
          <w:rFonts w:ascii="Verdana" w:hAnsi="Verdana"/>
          <w:sz w:val="20"/>
          <w:szCs w:val="20"/>
        </w:rPr>
        <w:t xml:space="preserve"> Grundsatz der Wirksamkeit, d.h. regelmäßige Begleitung, Kontrolle und Bewertung der Programme und Maßnahmen durch die Mitgliedstaaten. </w:t>
      </w:r>
    </w:p>
    <w:p w:rsidR="001A48A4" w:rsidRPr="001A48A4" w:rsidRDefault="001A48A4" w:rsidP="001A48A4">
      <w:pPr>
        <w:pStyle w:val="KeinLeerraum"/>
        <w:rPr>
          <w:rFonts w:ascii="Verdana" w:hAnsi="Verdana"/>
          <w:sz w:val="20"/>
          <w:szCs w:val="20"/>
        </w:rPr>
      </w:pPr>
      <w:r>
        <w:rPr>
          <w:rFonts w:ascii="Verdana" w:hAnsi="Verdana"/>
          <w:sz w:val="20"/>
          <w:szCs w:val="20"/>
        </w:rPr>
        <w:br/>
      </w:r>
      <w:r>
        <w:rPr>
          <w:rFonts w:ascii="Verdana" w:hAnsi="Verdana"/>
          <w:sz w:val="20"/>
          <w:szCs w:val="20"/>
        </w:rPr>
        <w:br/>
      </w:r>
      <w:r w:rsidRPr="001A48A4">
        <w:rPr>
          <w:rFonts w:ascii="Verdana" w:hAnsi="Verdana"/>
          <w:b/>
          <w:sz w:val="20"/>
          <w:szCs w:val="20"/>
        </w:rPr>
        <w:t>Finanzierung</w:t>
      </w:r>
      <w:r>
        <w:rPr>
          <w:rFonts w:ascii="Verdana" w:hAnsi="Verdana"/>
          <w:sz w:val="20"/>
          <w:szCs w:val="20"/>
        </w:rPr>
        <w:t>: Europäischer Sozialfonds (EFS), Kohäsionsfond</w:t>
      </w:r>
      <w:r w:rsidR="00CA2673">
        <w:rPr>
          <w:rFonts w:ascii="Verdana" w:hAnsi="Verdana"/>
          <w:sz w:val="20"/>
          <w:szCs w:val="20"/>
        </w:rPr>
        <w:t xml:space="preserve">s, Europäische Investitionsbank, Europäischer Fonds für regionale Entwicklung, </w:t>
      </w:r>
      <w:r>
        <w:rPr>
          <w:rFonts w:ascii="Verdana" w:hAnsi="Verdana"/>
          <w:sz w:val="20"/>
          <w:szCs w:val="20"/>
        </w:rPr>
        <w:br/>
      </w:r>
      <w:r w:rsidRPr="001A48A4">
        <w:rPr>
          <w:rFonts w:ascii="Verdana" w:hAnsi="Verdana"/>
          <w:sz w:val="20"/>
          <w:szCs w:val="20"/>
        </w:rPr>
        <w:lastRenderedPageBreak/>
        <w:sym w:font="Wingdings" w:char="F0E0"/>
      </w:r>
      <w:r w:rsidRPr="001A48A4">
        <w:rPr>
          <w:rFonts w:ascii="Verdana" w:hAnsi="Verdana"/>
          <w:b/>
          <w:sz w:val="20"/>
          <w:szCs w:val="20"/>
        </w:rPr>
        <w:t xml:space="preserve">Anreizprinzip der </w:t>
      </w:r>
      <w:proofErr w:type="spellStart"/>
      <w:r w:rsidRPr="001A48A4">
        <w:rPr>
          <w:rFonts w:ascii="Verdana" w:hAnsi="Verdana"/>
          <w:b/>
          <w:sz w:val="20"/>
          <w:szCs w:val="20"/>
        </w:rPr>
        <w:t>Additionalität</w:t>
      </w:r>
      <w:proofErr w:type="spellEnd"/>
      <w:r w:rsidRPr="001A48A4">
        <w:rPr>
          <w:rFonts w:ascii="Verdana" w:hAnsi="Verdana"/>
          <w:sz w:val="20"/>
          <w:szCs w:val="20"/>
        </w:rPr>
        <w:t>: Regionen erhalten erst dann Mittel, wenn sie selber tätig werden.</w:t>
      </w:r>
    </w:p>
    <w:p w:rsidR="00597709" w:rsidRDefault="00597709" w:rsidP="00597709">
      <w:pPr>
        <w:pStyle w:val="KeinLeerraum"/>
        <w:rPr>
          <w:rFonts w:ascii="Verdana" w:hAnsi="Verdana"/>
          <w:sz w:val="20"/>
          <w:szCs w:val="20"/>
        </w:rPr>
      </w:pPr>
    </w:p>
    <w:p w:rsidR="00597709" w:rsidRDefault="00597709" w:rsidP="001A48A4">
      <w:pPr>
        <w:pStyle w:val="KeinLeerraum"/>
        <w:rPr>
          <w:rFonts w:ascii="Verdana" w:hAnsi="Verdana"/>
          <w:sz w:val="20"/>
          <w:szCs w:val="20"/>
        </w:rPr>
      </w:pPr>
      <w:r w:rsidRPr="00597709">
        <w:rPr>
          <w:rFonts w:ascii="Verdana" w:hAnsi="Verdana"/>
          <w:sz w:val="20"/>
          <w:szCs w:val="20"/>
        </w:rPr>
        <w:t xml:space="preserve">Die Verringerung nationaler Disparitäten durch supranationale Transferpolitik war mit den EU-Gründerstaaten </w:t>
      </w:r>
      <w:r w:rsidRPr="00597709">
        <w:rPr>
          <w:rFonts w:ascii="Verdana" w:hAnsi="Verdana"/>
          <w:b/>
          <w:sz w:val="20"/>
          <w:szCs w:val="20"/>
        </w:rPr>
        <w:t>noch real erreichbar</w:t>
      </w:r>
      <w:r w:rsidRPr="00597709">
        <w:rPr>
          <w:rFonts w:ascii="Verdana" w:hAnsi="Verdana"/>
          <w:sz w:val="20"/>
          <w:szCs w:val="20"/>
        </w:rPr>
        <w:t xml:space="preserve">. Mit dem Beitritt mehrere Länder mit teils planwirtschaftlicher Vergangenheit </w:t>
      </w:r>
      <w:r>
        <w:rPr>
          <w:rFonts w:ascii="Verdana" w:hAnsi="Verdana"/>
          <w:sz w:val="20"/>
          <w:szCs w:val="20"/>
        </w:rPr>
        <w:t>immer weniger</w:t>
      </w:r>
      <w:r w:rsidRPr="00597709">
        <w:rPr>
          <w:rFonts w:ascii="Verdana" w:hAnsi="Verdana"/>
          <w:sz w:val="20"/>
          <w:szCs w:val="20"/>
        </w:rPr>
        <w:t>.</w:t>
      </w:r>
    </w:p>
    <w:p w:rsidR="001A48A4" w:rsidRDefault="001A48A4" w:rsidP="001A48A4">
      <w:pPr>
        <w:pStyle w:val="KeinLeerraum"/>
        <w:rPr>
          <w:rFonts w:ascii="Verdana" w:hAnsi="Verdana"/>
          <w:sz w:val="20"/>
          <w:szCs w:val="20"/>
        </w:rPr>
      </w:pPr>
    </w:p>
    <w:p w:rsidR="001A48A4" w:rsidRPr="001A48A4" w:rsidRDefault="001A48A4" w:rsidP="001A48A4">
      <w:pPr>
        <w:pStyle w:val="KeinLeerraum"/>
        <w:rPr>
          <w:rFonts w:ascii="Verdana" w:hAnsi="Verdana"/>
          <w:b/>
          <w:sz w:val="20"/>
          <w:szCs w:val="20"/>
        </w:rPr>
      </w:pPr>
      <w:r w:rsidRPr="001A48A4">
        <w:rPr>
          <w:rFonts w:ascii="Verdana" w:hAnsi="Verdana"/>
          <w:b/>
          <w:sz w:val="20"/>
          <w:szCs w:val="20"/>
        </w:rPr>
        <w:t>NUTS-EBENEN</w:t>
      </w:r>
      <w:r>
        <w:rPr>
          <w:rFonts w:ascii="Verdana" w:hAnsi="Verdana"/>
          <w:b/>
          <w:sz w:val="20"/>
          <w:szCs w:val="20"/>
        </w:rPr>
        <w:t>:</w:t>
      </w:r>
    </w:p>
    <w:p w:rsidR="001A48A4" w:rsidRDefault="001A48A4" w:rsidP="001A48A4">
      <w:pPr>
        <w:pStyle w:val="KeinLeerraum"/>
        <w:rPr>
          <w:rFonts w:ascii="Verdana" w:hAnsi="Verdana"/>
          <w:sz w:val="20"/>
          <w:szCs w:val="20"/>
        </w:rPr>
      </w:pPr>
      <w:r w:rsidRPr="001A48A4">
        <w:rPr>
          <w:rFonts w:ascii="Verdana" w:hAnsi="Verdana"/>
          <w:b/>
          <w:sz w:val="20"/>
          <w:szCs w:val="20"/>
        </w:rPr>
        <w:t>NUTS-0-Ebene</w:t>
      </w:r>
      <w:r w:rsidRPr="001A48A4">
        <w:rPr>
          <w:rFonts w:ascii="Verdana" w:hAnsi="Verdana"/>
          <w:sz w:val="20"/>
          <w:szCs w:val="20"/>
        </w:rPr>
        <w:t>: Nationalstaaten (27 Staaten)</w:t>
      </w:r>
      <w:r w:rsidRPr="001A48A4">
        <w:rPr>
          <w:rFonts w:ascii="Verdana" w:hAnsi="Verdana"/>
          <w:sz w:val="20"/>
          <w:szCs w:val="20"/>
        </w:rPr>
        <w:br/>
      </w:r>
      <w:r w:rsidRPr="001A48A4">
        <w:rPr>
          <w:rFonts w:ascii="Verdana" w:hAnsi="Verdana"/>
          <w:b/>
          <w:sz w:val="20"/>
          <w:szCs w:val="20"/>
        </w:rPr>
        <w:t>NUTS-1-Ebene</w:t>
      </w:r>
      <w:r>
        <w:rPr>
          <w:rFonts w:ascii="Verdana" w:hAnsi="Verdana"/>
          <w:sz w:val="20"/>
          <w:szCs w:val="20"/>
        </w:rPr>
        <w:t>: größere Regionen, Landesteile, Bundesländer</w:t>
      </w:r>
      <w:r w:rsidRPr="001A48A4">
        <w:rPr>
          <w:rFonts w:ascii="Verdana" w:hAnsi="Verdana"/>
          <w:sz w:val="20"/>
          <w:szCs w:val="20"/>
        </w:rPr>
        <w:br/>
      </w:r>
      <w:r w:rsidRPr="001A48A4">
        <w:rPr>
          <w:rFonts w:ascii="Verdana" w:hAnsi="Verdana"/>
          <w:b/>
          <w:sz w:val="20"/>
          <w:szCs w:val="20"/>
        </w:rPr>
        <w:t>NUTS-2-Ebene</w:t>
      </w:r>
      <w:r w:rsidRPr="001A48A4">
        <w:rPr>
          <w:rFonts w:ascii="Verdana" w:hAnsi="Verdana"/>
          <w:sz w:val="20"/>
          <w:szCs w:val="20"/>
        </w:rPr>
        <w:t>: Mittlere Regionen, Landschaften</w:t>
      </w:r>
      <w:r w:rsidRPr="001A48A4">
        <w:rPr>
          <w:rFonts w:ascii="Verdana" w:hAnsi="Verdana"/>
          <w:sz w:val="20"/>
          <w:szCs w:val="20"/>
        </w:rPr>
        <w:br/>
      </w:r>
      <w:r w:rsidRPr="001A48A4">
        <w:rPr>
          <w:rFonts w:ascii="Verdana" w:hAnsi="Verdana"/>
          <w:b/>
          <w:sz w:val="20"/>
          <w:szCs w:val="20"/>
        </w:rPr>
        <w:t>NUTS-3-Ebene</w:t>
      </w:r>
      <w:r w:rsidRPr="001A48A4">
        <w:rPr>
          <w:rFonts w:ascii="Verdana" w:hAnsi="Verdana"/>
          <w:sz w:val="20"/>
          <w:szCs w:val="20"/>
        </w:rPr>
        <w:t xml:space="preserve">: kleine Regionen, Großstädte </w:t>
      </w:r>
      <w:r w:rsidRPr="001A48A4">
        <w:rPr>
          <w:rFonts w:ascii="Verdana" w:hAnsi="Verdana"/>
          <w:sz w:val="20"/>
          <w:szCs w:val="20"/>
        </w:rPr>
        <w:br/>
      </w:r>
      <w:r w:rsidRPr="001A48A4">
        <w:rPr>
          <w:rFonts w:ascii="Verdana" w:hAnsi="Verdana"/>
          <w:b/>
          <w:sz w:val="20"/>
          <w:szCs w:val="20"/>
        </w:rPr>
        <w:t>NUTS-4-Ebene</w:t>
      </w:r>
      <w:r w:rsidRPr="001A48A4">
        <w:rPr>
          <w:rFonts w:ascii="Verdana" w:hAnsi="Verdana"/>
          <w:sz w:val="20"/>
          <w:szCs w:val="20"/>
        </w:rPr>
        <w:t>: Gemeindeverbände</w:t>
      </w:r>
      <w:r w:rsidRPr="001A48A4">
        <w:rPr>
          <w:rFonts w:ascii="Verdana" w:hAnsi="Verdana"/>
          <w:sz w:val="20"/>
          <w:szCs w:val="20"/>
        </w:rPr>
        <w:br/>
      </w:r>
      <w:r w:rsidRPr="001A48A4">
        <w:rPr>
          <w:rFonts w:ascii="Verdana" w:hAnsi="Verdana"/>
          <w:b/>
          <w:sz w:val="20"/>
          <w:szCs w:val="20"/>
        </w:rPr>
        <w:t>NUTS-5-Ebene</w:t>
      </w:r>
      <w:r w:rsidRPr="001A48A4">
        <w:rPr>
          <w:rFonts w:ascii="Verdana" w:hAnsi="Verdana"/>
          <w:sz w:val="20"/>
          <w:szCs w:val="20"/>
        </w:rPr>
        <w:t xml:space="preserve">: Gemeinden </w:t>
      </w:r>
    </w:p>
    <w:p w:rsidR="00033B9D" w:rsidRDefault="00033B9D" w:rsidP="001A48A4">
      <w:pPr>
        <w:pStyle w:val="KeinLeerraum"/>
        <w:rPr>
          <w:rFonts w:ascii="Verdana" w:hAnsi="Verdana"/>
          <w:sz w:val="20"/>
          <w:szCs w:val="20"/>
        </w:rPr>
      </w:pPr>
    </w:p>
    <w:p w:rsidR="00033B9D" w:rsidRPr="002061D6" w:rsidRDefault="00033B9D" w:rsidP="002061D6">
      <w:pPr>
        <w:pStyle w:val="KeinLeerraum"/>
        <w:rPr>
          <w:rFonts w:ascii="Verdana" w:hAnsi="Verdana"/>
          <w:sz w:val="20"/>
          <w:szCs w:val="20"/>
        </w:rPr>
      </w:pPr>
      <w:r w:rsidRPr="002061D6">
        <w:rPr>
          <w:rFonts w:ascii="Verdana" w:hAnsi="Verdana"/>
          <w:sz w:val="20"/>
          <w:szCs w:val="20"/>
        </w:rPr>
        <w:t xml:space="preserve">Wegen der </w:t>
      </w:r>
      <w:r w:rsidRPr="00A021FC">
        <w:rPr>
          <w:rFonts w:ascii="Verdana" w:hAnsi="Verdana"/>
          <w:b/>
          <w:sz w:val="20"/>
          <w:szCs w:val="20"/>
        </w:rPr>
        <w:t>Ost-Erweiterung</w:t>
      </w:r>
      <w:r w:rsidRPr="002061D6">
        <w:rPr>
          <w:rFonts w:ascii="Verdana" w:hAnsi="Verdana"/>
          <w:sz w:val="20"/>
          <w:szCs w:val="20"/>
        </w:rPr>
        <w:t xml:space="preserve"> kam es zu folgender Reform („Agenda 2000: Eine starke und erweiterte Un</w:t>
      </w:r>
      <w:r w:rsidRPr="002061D6">
        <w:rPr>
          <w:rFonts w:ascii="Verdana" w:hAnsi="Verdana"/>
          <w:sz w:val="20"/>
          <w:szCs w:val="20"/>
        </w:rPr>
        <w:t>i</w:t>
      </w:r>
      <w:r w:rsidRPr="002061D6">
        <w:rPr>
          <w:rFonts w:ascii="Verdana" w:hAnsi="Verdana"/>
          <w:sz w:val="20"/>
          <w:szCs w:val="20"/>
        </w:rPr>
        <w:t>on“) der vier Strukturfonds (EFRE, ESF, Abteilung „Ausrichtung“ des EAGFL, Finanzinstrument für die Au</w:t>
      </w:r>
      <w:r w:rsidRPr="002061D6">
        <w:rPr>
          <w:rFonts w:ascii="Verdana" w:hAnsi="Verdana"/>
          <w:sz w:val="20"/>
          <w:szCs w:val="20"/>
        </w:rPr>
        <w:t>s</w:t>
      </w:r>
      <w:r w:rsidRPr="002061D6">
        <w:rPr>
          <w:rFonts w:ascii="Verdana" w:hAnsi="Verdana"/>
          <w:sz w:val="20"/>
          <w:szCs w:val="20"/>
        </w:rPr>
        <w:t>richtung der Fischerei), die statt sechs Zielregionen nun über drei Zielregionen (ohne substantielle Verkürzungen) ve</w:t>
      </w:r>
      <w:r w:rsidRPr="002061D6">
        <w:rPr>
          <w:rFonts w:ascii="Verdana" w:hAnsi="Verdana"/>
          <w:sz w:val="20"/>
          <w:szCs w:val="20"/>
        </w:rPr>
        <w:t>r</w:t>
      </w:r>
      <w:r w:rsidRPr="002061D6">
        <w:rPr>
          <w:rFonts w:ascii="Verdana" w:hAnsi="Verdana"/>
          <w:sz w:val="20"/>
          <w:szCs w:val="20"/>
        </w:rPr>
        <w:t>fügt:</w:t>
      </w:r>
    </w:p>
    <w:p w:rsidR="00033B9D" w:rsidRPr="002061D6" w:rsidRDefault="00033B9D" w:rsidP="002061D6">
      <w:pPr>
        <w:pStyle w:val="KeinLeerraum"/>
        <w:rPr>
          <w:rFonts w:ascii="Verdana" w:hAnsi="Verdana"/>
          <w:sz w:val="20"/>
          <w:szCs w:val="20"/>
        </w:rPr>
      </w:pPr>
    </w:p>
    <w:p w:rsidR="00597709" w:rsidRPr="002061D6" w:rsidRDefault="00033B9D" w:rsidP="002061D6">
      <w:pPr>
        <w:pStyle w:val="KeinLeerraum"/>
        <w:rPr>
          <w:rFonts w:ascii="Verdana" w:hAnsi="Verdana"/>
          <w:sz w:val="20"/>
          <w:szCs w:val="20"/>
        </w:rPr>
      </w:pPr>
      <w:r w:rsidRPr="00A021FC">
        <w:rPr>
          <w:rFonts w:ascii="Verdana" w:hAnsi="Verdana"/>
          <w:b/>
          <w:sz w:val="20"/>
          <w:szCs w:val="20"/>
        </w:rPr>
        <w:t>Ziel 1</w:t>
      </w:r>
      <w:r w:rsidRPr="002061D6">
        <w:rPr>
          <w:rFonts w:ascii="Verdana" w:hAnsi="Verdana"/>
          <w:sz w:val="20"/>
          <w:szCs w:val="20"/>
        </w:rPr>
        <w:t>: „Förderung der Entwicklung und der strukturellen Anpassung der Regionen mit Entwicklungsrüc</w:t>
      </w:r>
      <w:r w:rsidRPr="002061D6">
        <w:rPr>
          <w:rFonts w:ascii="Verdana" w:hAnsi="Verdana"/>
          <w:sz w:val="20"/>
          <w:szCs w:val="20"/>
        </w:rPr>
        <w:t>k</w:t>
      </w:r>
      <w:r w:rsidRPr="002061D6">
        <w:rPr>
          <w:rFonts w:ascii="Verdana" w:hAnsi="Verdana"/>
          <w:sz w:val="20"/>
          <w:szCs w:val="20"/>
        </w:rPr>
        <w:t>stand“, das betrifft die am stärk</w:t>
      </w:r>
      <w:r w:rsidRPr="002061D6">
        <w:rPr>
          <w:rFonts w:ascii="Verdana" w:hAnsi="Verdana"/>
          <w:sz w:val="20"/>
          <w:szCs w:val="20"/>
        </w:rPr>
        <w:t>s</w:t>
      </w:r>
      <w:r w:rsidRPr="002061D6">
        <w:rPr>
          <w:rFonts w:ascii="Verdana" w:hAnsi="Verdana"/>
          <w:sz w:val="20"/>
          <w:szCs w:val="20"/>
        </w:rPr>
        <w:t>ten zurückgebliebenen Regionen mit einem BIP pro Kopf von weniger als 75% des EU-Durchschnitts während der letzten drei Jahre. Hinzu kommen dünnbesiedelte Regionen im Norden von Fin</w:t>
      </w:r>
      <w:r w:rsidRPr="002061D6">
        <w:rPr>
          <w:rFonts w:ascii="Verdana" w:hAnsi="Verdana"/>
          <w:sz w:val="20"/>
          <w:szCs w:val="20"/>
        </w:rPr>
        <w:t>n</w:t>
      </w:r>
      <w:r w:rsidRPr="002061D6">
        <w:rPr>
          <w:rFonts w:ascii="Verdana" w:hAnsi="Verdana"/>
          <w:sz w:val="20"/>
          <w:szCs w:val="20"/>
        </w:rPr>
        <w:t>land u</w:t>
      </w:r>
      <w:r w:rsidR="00693678" w:rsidRPr="002061D6">
        <w:rPr>
          <w:rFonts w:ascii="Verdana" w:hAnsi="Verdana"/>
          <w:sz w:val="20"/>
          <w:szCs w:val="20"/>
        </w:rPr>
        <w:t>nd Schweden.</w:t>
      </w:r>
    </w:p>
    <w:p w:rsidR="00693678" w:rsidRPr="002061D6" w:rsidRDefault="00693678" w:rsidP="002061D6">
      <w:pPr>
        <w:pStyle w:val="KeinLeerraum"/>
        <w:rPr>
          <w:rFonts w:ascii="Verdana" w:hAnsi="Verdana"/>
          <w:sz w:val="20"/>
          <w:szCs w:val="20"/>
        </w:rPr>
      </w:pPr>
    </w:p>
    <w:p w:rsidR="00693678" w:rsidRPr="002061D6" w:rsidRDefault="00693678" w:rsidP="002061D6">
      <w:pPr>
        <w:pStyle w:val="KeinLeerraum"/>
        <w:rPr>
          <w:rFonts w:ascii="Verdana" w:hAnsi="Verdana"/>
          <w:sz w:val="20"/>
          <w:szCs w:val="20"/>
        </w:rPr>
      </w:pPr>
      <w:r w:rsidRPr="00A021FC">
        <w:rPr>
          <w:rFonts w:ascii="Verdana" w:hAnsi="Verdana"/>
          <w:b/>
          <w:sz w:val="20"/>
          <w:szCs w:val="20"/>
        </w:rPr>
        <w:t>Ziel 2</w:t>
      </w:r>
      <w:r w:rsidRPr="002061D6">
        <w:rPr>
          <w:rFonts w:ascii="Verdana" w:hAnsi="Verdana"/>
          <w:sz w:val="20"/>
          <w:szCs w:val="20"/>
        </w:rPr>
        <w:t>: „Unterstützung der wirtschaftlichen und sozialen Umstellung der Gebiete mit Strukturproblemen“. Das sind Regionen mit besonderen Problemen, die vom Strukturwandel in Industrie, Dienstleistungen oder Fischerei (z. B. Ruhrgebiet, ländliche Gebiete, von Fischerei abhängige Küstenregionen mit rückläufigem Fischfang, stä</w:t>
      </w:r>
      <w:r w:rsidRPr="002061D6">
        <w:rPr>
          <w:rFonts w:ascii="Verdana" w:hAnsi="Verdana"/>
          <w:sz w:val="20"/>
          <w:szCs w:val="20"/>
        </w:rPr>
        <w:t>d</w:t>
      </w:r>
      <w:r w:rsidRPr="002061D6">
        <w:rPr>
          <w:rFonts w:ascii="Verdana" w:hAnsi="Verdana"/>
          <w:sz w:val="20"/>
          <w:szCs w:val="20"/>
        </w:rPr>
        <w:t>tische Problemzonen) besonders betroffen sind, aber nicht Ziel-1-Region sind.</w:t>
      </w:r>
    </w:p>
    <w:p w:rsidR="00693678" w:rsidRPr="002061D6" w:rsidRDefault="00693678" w:rsidP="002061D6">
      <w:pPr>
        <w:pStyle w:val="KeinLeerraum"/>
        <w:rPr>
          <w:rFonts w:ascii="Verdana" w:hAnsi="Verdana"/>
          <w:sz w:val="20"/>
          <w:szCs w:val="20"/>
        </w:rPr>
      </w:pPr>
    </w:p>
    <w:p w:rsidR="00693678" w:rsidRPr="002061D6" w:rsidRDefault="00693678" w:rsidP="002061D6">
      <w:pPr>
        <w:pStyle w:val="KeinLeerraum"/>
        <w:rPr>
          <w:rFonts w:ascii="Verdana" w:hAnsi="Verdana"/>
          <w:sz w:val="20"/>
          <w:szCs w:val="20"/>
        </w:rPr>
      </w:pPr>
      <w:r w:rsidRPr="00A021FC">
        <w:rPr>
          <w:rFonts w:ascii="Verdana" w:hAnsi="Verdana"/>
          <w:b/>
          <w:sz w:val="20"/>
          <w:szCs w:val="20"/>
        </w:rPr>
        <w:t>Ziel 3</w:t>
      </w:r>
      <w:r w:rsidRPr="002061D6">
        <w:rPr>
          <w:rFonts w:ascii="Verdana" w:hAnsi="Verdana"/>
          <w:sz w:val="20"/>
          <w:szCs w:val="20"/>
        </w:rPr>
        <w:t>: „Unterstützung der Anpassung und Modernisierung der Bildungs-, Ausbildungs- und Beschäftigungspol</w:t>
      </w:r>
      <w:r w:rsidRPr="002061D6">
        <w:rPr>
          <w:rFonts w:ascii="Verdana" w:hAnsi="Verdana"/>
          <w:sz w:val="20"/>
          <w:szCs w:val="20"/>
        </w:rPr>
        <w:t>i</w:t>
      </w:r>
      <w:r w:rsidRPr="002061D6">
        <w:rPr>
          <w:rFonts w:ascii="Verdana" w:hAnsi="Verdana"/>
          <w:sz w:val="20"/>
          <w:szCs w:val="20"/>
        </w:rPr>
        <w:t>tiken und –</w:t>
      </w:r>
      <w:proofErr w:type="spellStart"/>
      <w:r w:rsidRPr="002061D6">
        <w:rPr>
          <w:rFonts w:ascii="Verdana" w:hAnsi="Verdana"/>
          <w:sz w:val="20"/>
          <w:szCs w:val="20"/>
        </w:rPr>
        <w:t>systeme</w:t>
      </w:r>
      <w:proofErr w:type="spellEnd"/>
      <w:r w:rsidRPr="002061D6">
        <w:rPr>
          <w:rFonts w:ascii="Verdana" w:hAnsi="Verdana"/>
          <w:sz w:val="20"/>
          <w:szCs w:val="20"/>
        </w:rPr>
        <w:t>“.</w:t>
      </w:r>
    </w:p>
    <w:p w:rsidR="002061D6" w:rsidRPr="002061D6" w:rsidRDefault="002061D6" w:rsidP="002061D6">
      <w:pPr>
        <w:pStyle w:val="KeinLeerraum"/>
        <w:rPr>
          <w:rFonts w:ascii="Verdana" w:hAnsi="Verdana"/>
          <w:sz w:val="20"/>
          <w:szCs w:val="20"/>
        </w:rPr>
      </w:pPr>
    </w:p>
    <w:p w:rsidR="002061D6" w:rsidRPr="002061D6" w:rsidRDefault="002061D6" w:rsidP="002061D6">
      <w:pPr>
        <w:pStyle w:val="KeinLeerraum"/>
        <w:rPr>
          <w:rFonts w:ascii="Verdana" w:hAnsi="Verdana"/>
          <w:sz w:val="20"/>
          <w:szCs w:val="20"/>
        </w:rPr>
      </w:pPr>
      <w:r w:rsidRPr="002061D6">
        <w:rPr>
          <w:rFonts w:ascii="Verdana" w:hAnsi="Verdana"/>
          <w:sz w:val="20"/>
          <w:szCs w:val="20"/>
        </w:rPr>
        <w:t xml:space="preserve">Ein wichtiger Indikator für eine Förderungswürdigkeit einer Region ist das </w:t>
      </w:r>
      <w:r w:rsidRPr="00A021FC">
        <w:rPr>
          <w:rFonts w:ascii="Verdana" w:hAnsi="Verdana"/>
          <w:b/>
          <w:sz w:val="20"/>
          <w:szCs w:val="20"/>
        </w:rPr>
        <w:t>BIP oder BSP pro Kopf</w:t>
      </w:r>
      <w:r w:rsidRPr="002061D6">
        <w:rPr>
          <w:rFonts w:ascii="Verdana" w:hAnsi="Verdana"/>
          <w:sz w:val="20"/>
          <w:szCs w:val="20"/>
        </w:rPr>
        <w:t>.</w:t>
      </w:r>
    </w:p>
    <w:p w:rsidR="002061D6" w:rsidRPr="002061D6" w:rsidRDefault="002061D6" w:rsidP="002061D6">
      <w:pPr>
        <w:pStyle w:val="KeinLeerraum"/>
        <w:rPr>
          <w:rFonts w:ascii="Verdana" w:hAnsi="Verdana"/>
          <w:sz w:val="20"/>
          <w:szCs w:val="20"/>
        </w:rPr>
      </w:pPr>
    </w:p>
    <w:p w:rsidR="002061D6" w:rsidRPr="002061D6" w:rsidRDefault="002061D6" w:rsidP="002061D6">
      <w:pPr>
        <w:pStyle w:val="KeinLeerraum"/>
        <w:rPr>
          <w:rFonts w:ascii="Verdana" w:hAnsi="Verdana"/>
          <w:sz w:val="20"/>
          <w:szCs w:val="20"/>
        </w:rPr>
      </w:pPr>
      <w:r w:rsidRPr="002061D6">
        <w:rPr>
          <w:rFonts w:ascii="Verdana" w:hAnsi="Verdana"/>
          <w:sz w:val="20"/>
          <w:szCs w:val="20"/>
        </w:rPr>
        <w:t>-</w:t>
      </w:r>
    </w:p>
    <w:p w:rsidR="002061D6" w:rsidRPr="002061D6" w:rsidRDefault="002061D6" w:rsidP="002061D6">
      <w:pPr>
        <w:pStyle w:val="KeinLeerraum"/>
        <w:rPr>
          <w:rFonts w:ascii="Verdana" w:hAnsi="Verdana"/>
          <w:sz w:val="20"/>
          <w:szCs w:val="20"/>
        </w:rPr>
      </w:pPr>
    </w:p>
    <w:p w:rsidR="002061D6" w:rsidRDefault="002061D6" w:rsidP="00693678">
      <w:pPr>
        <w:pStyle w:val="KeinLeerraum"/>
        <w:rPr>
          <w:rFonts w:ascii="Verdana" w:hAnsi="Verdana"/>
          <w:sz w:val="20"/>
          <w:szCs w:val="20"/>
        </w:rPr>
      </w:pPr>
      <w:r w:rsidRPr="002061D6">
        <w:rPr>
          <w:rFonts w:ascii="Verdana" w:hAnsi="Verdana"/>
          <w:sz w:val="20"/>
          <w:szCs w:val="20"/>
        </w:rPr>
        <w:t xml:space="preserve">4. </w:t>
      </w:r>
      <w:r w:rsidRPr="002061D6">
        <w:rPr>
          <w:rFonts w:ascii="Verdana" w:hAnsi="Verdana"/>
          <w:b/>
          <w:sz w:val="20"/>
          <w:szCs w:val="20"/>
          <w:u w:val="single"/>
        </w:rPr>
        <w:t>Einzelne Fonds</w:t>
      </w:r>
      <w:r>
        <w:rPr>
          <w:rFonts w:ascii="Verdana" w:hAnsi="Verdana"/>
          <w:sz w:val="20"/>
          <w:szCs w:val="20"/>
        </w:rPr>
        <w:t xml:space="preserve"> </w:t>
      </w:r>
    </w:p>
    <w:p w:rsidR="002061D6" w:rsidRDefault="002061D6" w:rsidP="00693678">
      <w:pPr>
        <w:pStyle w:val="KeinLeerraum"/>
        <w:rPr>
          <w:rFonts w:ascii="Verdana" w:hAnsi="Verdana"/>
          <w:sz w:val="20"/>
          <w:szCs w:val="20"/>
        </w:rPr>
      </w:pPr>
    </w:p>
    <w:p w:rsidR="002061D6" w:rsidRPr="002061D6" w:rsidRDefault="002061D6" w:rsidP="002061D6">
      <w:pPr>
        <w:pStyle w:val="KeinLeerraum"/>
        <w:rPr>
          <w:rFonts w:ascii="Verdana" w:hAnsi="Verdana"/>
          <w:sz w:val="20"/>
          <w:szCs w:val="20"/>
        </w:rPr>
      </w:pPr>
      <w:r w:rsidRPr="002061D6">
        <w:rPr>
          <w:rFonts w:ascii="Verdana" w:hAnsi="Verdana"/>
          <w:sz w:val="20"/>
          <w:szCs w:val="20"/>
        </w:rPr>
        <w:t xml:space="preserve">Wesentliche Aufgabe des </w:t>
      </w:r>
      <w:r w:rsidRPr="002061D6">
        <w:rPr>
          <w:rFonts w:ascii="Verdana" w:hAnsi="Verdana"/>
          <w:b/>
          <w:sz w:val="20"/>
          <w:szCs w:val="20"/>
        </w:rPr>
        <w:t>Strukturfonds</w:t>
      </w:r>
      <w:r w:rsidRPr="002061D6">
        <w:rPr>
          <w:rFonts w:ascii="Verdana" w:hAnsi="Verdana"/>
          <w:sz w:val="20"/>
          <w:szCs w:val="20"/>
        </w:rPr>
        <w:t xml:space="preserve"> gilt der Stärkung der regionalen Wirtschaftsstruktur, um mit regionalen Indikatoren bestimmte wirtschaftspolitische Ziele wie räumliche Konvergenz der Pro-Kopf-Einkommen und der regionalen Strukturkraft zu erreichen. Ein weiteres direkt sozialpolitisches Hauptmotiv gilt der Entgegenwirkung der starken zentripetalen Marktkräfte, </w:t>
      </w:r>
      <w:proofErr w:type="spellStart"/>
      <w:r w:rsidRPr="002061D6">
        <w:rPr>
          <w:rFonts w:ascii="Verdana" w:hAnsi="Verdana"/>
          <w:sz w:val="20"/>
          <w:szCs w:val="20"/>
        </w:rPr>
        <w:t>Divergenzkräften</w:t>
      </w:r>
      <w:proofErr w:type="spellEnd"/>
      <w:r w:rsidRPr="002061D6">
        <w:rPr>
          <w:rFonts w:ascii="Verdana" w:hAnsi="Verdana"/>
          <w:sz w:val="20"/>
          <w:szCs w:val="20"/>
        </w:rPr>
        <w:t xml:space="preserve"> soll entgegengewirkt werden. Die Attraktivität der Kernregionen wächst, ein Ausdünnen der Peripherie (</w:t>
      </w:r>
      <w:proofErr w:type="spellStart"/>
      <w:r w:rsidRPr="002061D6">
        <w:rPr>
          <w:rFonts w:ascii="Verdana" w:hAnsi="Verdana"/>
          <w:sz w:val="20"/>
          <w:szCs w:val="20"/>
        </w:rPr>
        <w:t>brain</w:t>
      </w:r>
      <w:proofErr w:type="spellEnd"/>
      <w:r w:rsidRPr="002061D6">
        <w:rPr>
          <w:rFonts w:ascii="Verdana" w:hAnsi="Verdana"/>
          <w:sz w:val="20"/>
          <w:szCs w:val="20"/>
        </w:rPr>
        <w:t xml:space="preserve"> </w:t>
      </w:r>
      <w:proofErr w:type="spellStart"/>
      <w:r w:rsidRPr="002061D6">
        <w:rPr>
          <w:rFonts w:ascii="Verdana" w:hAnsi="Verdana"/>
          <w:sz w:val="20"/>
          <w:szCs w:val="20"/>
        </w:rPr>
        <w:t>drain</w:t>
      </w:r>
      <w:proofErr w:type="spellEnd"/>
      <w:r w:rsidRPr="002061D6">
        <w:rPr>
          <w:rFonts w:ascii="Verdana" w:hAnsi="Verdana"/>
          <w:sz w:val="20"/>
          <w:szCs w:val="20"/>
        </w:rPr>
        <w:t>).</w:t>
      </w:r>
    </w:p>
    <w:p w:rsidR="00A021FC" w:rsidRPr="00A021FC" w:rsidRDefault="00A021FC" w:rsidP="00A021FC">
      <w:pPr>
        <w:pStyle w:val="KeinLeerraum"/>
        <w:rPr>
          <w:rFonts w:ascii="Verdana" w:hAnsi="Verdana"/>
          <w:sz w:val="20"/>
          <w:szCs w:val="20"/>
        </w:rPr>
      </w:pPr>
      <w:r>
        <w:rPr>
          <w:rFonts w:ascii="Verdana" w:hAnsi="Verdana"/>
          <w:sz w:val="20"/>
          <w:szCs w:val="20"/>
        </w:rPr>
        <w:br/>
      </w:r>
      <w:r w:rsidR="002061D6" w:rsidRPr="00A021FC">
        <w:rPr>
          <w:rFonts w:ascii="Verdana" w:hAnsi="Verdana"/>
          <w:sz w:val="20"/>
          <w:szCs w:val="20"/>
        </w:rPr>
        <w:t>Maßnahmen beziehen sich auf Bereiche wie</w:t>
      </w:r>
      <w:r w:rsidR="002061D6" w:rsidRPr="00A021FC">
        <w:rPr>
          <w:rFonts w:ascii="Verdana" w:hAnsi="Verdana"/>
          <w:b/>
          <w:sz w:val="20"/>
          <w:szCs w:val="20"/>
        </w:rPr>
        <w:t xml:space="preserve"> </w:t>
      </w:r>
      <w:r w:rsidR="002061D6" w:rsidRPr="00A021FC">
        <w:rPr>
          <w:rFonts w:ascii="Verdana" w:hAnsi="Verdana"/>
          <w:sz w:val="20"/>
          <w:szCs w:val="20"/>
        </w:rPr>
        <w:t>Umschulung, Beihilfen zur Umsiedlung (Mobilität) oder Umste</w:t>
      </w:r>
      <w:r w:rsidR="002061D6" w:rsidRPr="00A021FC">
        <w:rPr>
          <w:rFonts w:ascii="Verdana" w:hAnsi="Verdana"/>
          <w:sz w:val="20"/>
          <w:szCs w:val="20"/>
        </w:rPr>
        <w:t>l</w:t>
      </w:r>
      <w:r w:rsidR="002061D6" w:rsidRPr="00A021FC">
        <w:rPr>
          <w:rFonts w:ascii="Verdana" w:hAnsi="Verdana"/>
          <w:sz w:val="20"/>
          <w:szCs w:val="20"/>
        </w:rPr>
        <w:t>lung der Produktion</w:t>
      </w:r>
      <w:r w:rsidRPr="00A021FC">
        <w:rPr>
          <w:rFonts w:ascii="Verdana" w:hAnsi="Verdana"/>
          <w:sz w:val="20"/>
          <w:szCs w:val="20"/>
        </w:rPr>
        <w:t>.</w:t>
      </w:r>
    </w:p>
    <w:p w:rsidR="00A021FC" w:rsidRDefault="00A021FC" w:rsidP="00600C69">
      <w:pPr>
        <w:rPr>
          <w:sz w:val="20"/>
        </w:rPr>
      </w:pPr>
    </w:p>
    <w:p w:rsidR="00A021FC" w:rsidRDefault="00A021FC" w:rsidP="00600C69">
      <w:pPr>
        <w:rPr>
          <w:sz w:val="20"/>
        </w:rPr>
      </w:pPr>
      <w:r>
        <w:rPr>
          <w:sz w:val="20"/>
        </w:rPr>
        <w:t>-</w:t>
      </w:r>
    </w:p>
    <w:p w:rsidR="00A021FC" w:rsidRDefault="00A021FC" w:rsidP="00A021FC">
      <w:pPr>
        <w:spacing w:line="360" w:lineRule="auto"/>
        <w:jc w:val="both"/>
      </w:pPr>
    </w:p>
    <w:p w:rsidR="00CA2673" w:rsidRDefault="00CA2673" w:rsidP="00A021FC">
      <w:pPr>
        <w:pStyle w:val="KeinLeerraum"/>
      </w:pPr>
    </w:p>
    <w:p w:rsidR="00CA2673" w:rsidRDefault="00CA2673" w:rsidP="00A021FC">
      <w:pPr>
        <w:pStyle w:val="KeinLeerraum"/>
      </w:pPr>
    </w:p>
    <w:p w:rsidR="00A021FC" w:rsidRPr="00A021FC" w:rsidRDefault="00A021FC" w:rsidP="00A021FC">
      <w:pPr>
        <w:pStyle w:val="KeinLeerraum"/>
        <w:rPr>
          <w:rFonts w:ascii="Verdana" w:hAnsi="Verdana"/>
          <w:sz w:val="20"/>
          <w:szCs w:val="20"/>
        </w:rPr>
      </w:pPr>
      <w:r w:rsidRPr="00A021FC">
        <w:rPr>
          <w:rFonts w:ascii="Verdana" w:hAnsi="Verdana"/>
          <w:sz w:val="20"/>
          <w:szCs w:val="20"/>
        </w:rPr>
        <w:lastRenderedPageBreak/>
        <w:t xml:space="preserve">5. </w:t>
      </w:r>
      <w:r w:rsidRPr="00A021FC">
        <w:rPr>
          <w:rFonts w:ascii="Verdana" w:hAnsi="Verdana"/>
          <w:b/>
          <w:sz w:val="20"/>
          <w:szCs w:val="20"/>
          <w:u w:val="single"/>
        </w:rPr>
        <w:t>Strukturpolitische Effekte &amp; andere Informationen</w:t>
      </w:r>
    </w:p>
    <w:p w:rsidR="006618D0" w:rsidRDefault="000D203F" w:rsidP="00CA2673">
      <w:pPr>
        <w:pStyle w:val="KeinLeerraum"/>
        <w:rPr>
          <w:rFonts w:ascii="Verdana" w:hAnsi="Verdana"/>
          <w:sz w:val="20"/>
          <w:szCs w:val="20"/>
        </w:rPr>
      </w:pPr>
      <w:r w:rsidRPr="00CA2673">
        <w:rPr>
          <w:rFonts w:ascii="Verdana" w:hAnsi="Verdana"/>
          <w:sz w:val="20"/>
          <w:szCs w:val="20"/>
        </w:rPr>
        <w:br/>
      </w:r>
      <w:r w:rsidR="00210863" w:rsidRPr="00CA2673">
        <w:rPr>
          <w:rFonts w:ascii="Verdana" w:hAnsi="Verdana"/>
          <w:b/>
          <w:sz w:val="20"/>
          <w:szCs w:val="20"/>
        </w:rPr>
        <w:t>Unterschiedliche Aspekte strukturpolitischer Transferleistungen</w:t>
      </w:r>
      <w:r w:rsidR="00210863" w:rsidRPr="00CA2673">
        <w:rPr>
          <w:rFonts w:ascii="Verdana" w:hAnsi="Verdana"/>
          <w:sz w:val="20"/>
          <w:szCs w:val="20"/>
        </w:rPr>
        <w:t>: Wesentliche wohlfahrtsökonomische Argume</w:t>
      </w:r>
      <w:r w:rsidR="00210863" w:rsidRPr="00CA2673">
        <w:rPr>
          <w:rFonts w:ascii="Verdana" w:hAnsi="Verdana"/>
          <w:sz w:val="20"/>
          <w:szCs w:val="20"/>
        </w:rPr>
        <w:t>n</w:t>
      </w:r>
      <w:r w:rsidR="00210863" w:rsidRPr="00CA2673">
        <w:rPr>
          <w:rFonts w:ascii="Verdana" w:hAnsi="Verdana"/>
          <w:sz w:val="20"/>
          <w:szCs w:val="20"/>
        </w:rPr>
        <w:t>te für den europäischen Finanzausgleich: Aus allokativer Perspektive wird ein Finanzausgleich primär wegen neg</w:t>
      </w:r>
      <w:r w:rsidR="00210863" w:rsidRPr="00CA2673">
        <w:rPr>
          <w:rFonts w:ascii="Verdana" w:hAnsi="Verdana"/>
          <w:sz w:val="20"/>
          <w:szCs w:val="20"/>
        </w:rPr>
        <w:t>a</w:t>
      </w:r>
      <w:r w:rsidR="00210863" w:rsidRPr="00CA2673">
        <w:rPr>
          <w:rFonts w:ascii="Verdana" w:hAnsi="Verdana"/>
          <w:sz w:val="20"/>
          <w:szCs w:val="20"/>
        </w:rPr>
        <w:t>tiver Effekte durch</w:t>
      </w:r>
      <w:r w:rsidR="00210863" w:rsidRPr="00CA2673">
        <w:rPr>
          <w:rFonts w:ascii="Verdana" w:hAnsi="Verdana"/>
          <w:b/>
          <w:sz w:val="20"/>
          <w:szCs w:val="20"/>
        </w:rPr>
        <w:t xml:space="preserve"> </w:t>
      </w:r>
      <w:r w:rsidR="00210863" w:rsidRPr="00CA2673">
        <w:rPr>
          <w:rFonts w:ascii="Verdana" w:hAnsi="Verdana"/>
          <w:sz w:val="20"/>
          <w:szCs w:val="20"/>
        </w:rPr>
        <w:t>unerwünschte Wanderungen von Produktionsfaktoren in ökonomisch starke Metropolen begrü</w:t>
      </w:r>
      <w:r w:rsidR="00210863" w:rsidRPr="00CA2673">
        <w:rPr>
          <w:rFonts w:ascii="Verdana" w:hAnsi="Verdana"/>
          <w:sz w:val="20"/>
          <w:szCs w:val="20"/>
        </w:rPr>
        <w:t>n</w:t>
      </w:r>
      <w:r w:rsidR="00210863" w:rsidRPr="00CA2673">
        <w:rPr>
          <w:rFonts w:ascii="Verdana" w:hAnsi="Verdana"/>
          <w:sz w:val="20"/>
          <w:szCs w:val="20"/>
        </w:rPr>
        <w:t>det. Im Fokus stehen dabei potentielle Probleme, die in peripheren Regionen durch Abwanderung ihrer ökon</w:t>
      </w:r>
      <w:r w:rsidR="00210863" w:rsidRPr="00CA2673">
        <w:rPr>
          <w:rFonts w:ascii="Verdana" w:hAnsi="Verdana"/>
          <w:sz w:val="20"/>
          <w:szCs w:val="20"/>
        </w:rPr>
        <w:t>o</w:t>
      </w:r>
      <w:r w:rsidR="00210863" w:rsidRPr="00CA2673">
        <w:rPr>
          <w:rFonts w:ascii="Verdana" w:hAnsi="Verdana"/>
          <w:sz w:val="20"/>
          <w:szCs w:val="20"/>
        </w:rPr>
        <w:t>mischen Eliten oder qualifizieren Humankapitals entstehen (Beispiel: Mecklenburg-Vorpommern und Starnberg in München).</w:t>
      </w:r>
    </w:p>
    <w:p w:rsidR="00D21A09" w:rsidRDefault="00D21A09" w:rsidP="00CA2673">
      <w:pPr>
        <w:pStyle w:val="KeinLeerraum"/>
        <w:rPr>
          <w:rFonts w:ascii="Verdana" w:hAnsi="Verdana"/>
          <w:sz w:val="20"/>
          <w:szCs w:val="20"/>
        </w:rPr>
      </w:pPr>
    </w:p>
    <w:p w:rsidR="00CA2673" w:rsidRPr="00D21A09" w:rsidRDefault="00D21A09" w:rsidP="00D21A09">
      <w:pPr>
        <w:pStyle w:val="KeinLeerraum"/>
        <w:rPr>
          <w:rFonts w:ascii="Verdana" w:hAnsi="Verdana"/>
          <w:sz w:val="20"/>
          <w:szCs w:val="20"/>
        </w:rPr>
      </w:pPr>
      <w:r w:rsidRPr="00D21A09">
        <w:rPr>
          <w:rFonts w:ascii="Verdana" w:hAnsi="Verdana"/>
          <w:b/>
          <w:sz w:val="20"/>
          <w:szCs w:val="20"/>
        </w:rPr>
        <w:t>Studien</w:t>
      </w:r>
      <w:r>
        <w:rPr>
          <w:rFonts w:ascii="Verdana" w:hAnsi="Verdana"/>
          <w:sz w:val="20"/>
          <w:szCs w:val="20"/>
        </w:rPr>
        <w:t xml:space="preserve"> (u.a. EZB): Die Kohäsionspolitik hat Konvergenz dadurch realisiert, dass sie in den zahlenden Regionen einen </w:t>
      </w:r>
      <w:r w:rsidRPr="00D21A09">
        <w:rPr>
          <w:rFonts w:ascii="Verdana" w:hAnsi="Verdana"/>
          <w:b/>
          <w:sz w:val="20"/>
          <w:szCs w:val="20"/>
        </w:rPr>
        <w:t>noch stärkeren negativen Wachstumseffekt</w:t>
      </w:r>
      <w:r>
        <w:rPr>
          <w:rFonts w:ascii="Verdana" w:hAnsi="Verdana"/>
          <w:sz w:val="20"/>
          <w:szCs w:val="20"/>
        </w:rPr>
        <w:t xml:space="preserve"> bewirkt hat als in den Empfängernationen (gleiches gilt für den Länderfinanzausgleich)</w:t>
      </w:r>
      <w:r>
        <w:rPr>
          <w:rFonts w:ascii="Verdana" w:hAnsi="Verdana"/>
          <w:sz w:val="20"/>
          <w:szCs w:val="20"/>
        </w:rPr>
        <w:br/>
      </w:r>
      <w:r w:rsidRPr="00D21A09">
        <w:rPr>
          <w:rFonts w:ascii="Verdana" w:hAnsi="Verdana" w:cs="Arial"/>
          <w:sz w:val="20"/>
          <w:szCs w:val="20"/>
        </w:rPr>
        <w:sym w:font="Wingdings" w:char="F0E0"/>
      </w:r>
      <w:r w:rsidRPr="00D21A09">
        <w:rPr>
          <w:rFonts w:ascii="Verdana" w:hAnsi="Verdana" w:cs="Arial"/>
          <w:sz w:val="20"/>
          <w:szCs w:val="20"/>
        </w:rPr>
        <w:t xml:space="preserve"> </w:t>
      </w:r>
      <w:proofErr w:type="spellStart"/>
      <w:r w:rsidR="00210863" w:rsidRPr="00D21A09">
        <w:rPr>
          <w:rFonts w:ascii="Verdana" w:hAnsi="Verdana" w:cs="Arial"/>
          <w:b/>
          <w:sz w:val="20"/>
          <w:szCs w:val="20"/>
        </w:rPr>
        <w:t>immiserising</w:t>
      </w:r>
      <w:proofErr w:type="spellEnd"/>
      <w:r w:rsidR="00210863" w:rsidRPr="00D21A09">
        <w:rPr>
          <w:rFonts w:ascii="Verdana" w:hAnsi="Verdana" w:cs="Arial"/>
          <w:b/>
          <w:sz w:val="20"/>
          <w:szCs w:val="20"/>
        </w:rPr>
        <w:t xml:space="preserve"> </w:t>
      </w:r>
      <w:proofErr w:type="spellStart"/>
      <w:r w:rsidR="00210863" w:rsidRPr="00D21A09">
        <w:rPr>
          <w:rFonts w:ascii="Verdana" w:hAnsi="Verdana" w:cs="Arial"/>
          <w:b/>
          <w:sz w:val="20"/>
          <w:szCs w:val="20"/>
        </w:rPr>
        <w:t>convergence</w:t>
      </w:r>
      <w:proofErr w:type="spellEnd"/>
      <w:r w:rsidRPr="00D21A09">
        <w:rPr>
          <w:rFonts w:ascii="Verdana" w:hAnsi="Verdana" w:cs="Arial"/>
          <w:sz w:val="20"/>
          <w:szCs w:val="20"/>
        </w:rPr>
        <w:t xml:space="preserve">: </w:t>
      </w:r>
      <w:r w:rsidR="00210863" w:rsidRPr="00D21A09">
        <w:rPr>
          <w:rFonts w:ascii="Verdana" w:hAnsi="Verdana" w:cs="Arial"/>
          <w:sz w:val="20"/>
          <w:szCs w:val="20"/>
        </w:rPr>
        <w:t xml:space="preserve">Nach der neoklassischen Wachstumstheorie gilt die </w:t>
      </w:r>
      <w:r w:rsidR="00210863" w:rsidRPr="00D21A09">
        <w:rPr>
          <w:rFonts w:ascii="Verdana" w:hAnsi="Verdana" w:cs="Arial"/>
          <w:b/>
          <w:sz w:val="20"/>
          <w:szCs w:val="20"/>
        </w:rPr>
        <w:t>Verelendungskonvergenz</w:t>
      </w:r>
      <w:r w:rsidR="00210863" w:rsidRPr="00D21A09">
        <w:rPr>
          <w:rFonts w:ascii="Verdana" w:hAnsi="Verdana" w:cs="Arial"/>
          <w:sz w:val="20"/>
          <w:szCs w:val="20"/>
        </w:rPr>
        <w:t xml:space="preserve"> als schädlich, weil sie durch Umverteilung den Integrationsprozess mangels optimaler Effizienz abschwächt</w:t>
      </w:r>
      <w:r>
        <w:t>.</w:t>
      </w:r>
      <w:r>
        <w:br/>
      </w:r>
      <w:r>
        <w:br/>
      </w:r>
      <w:r w:rsidRPr="00D21A09">
        <w:rPr>
          <w:rFonts w:ascii="Verdana" w:hAnsi="Verdana"/>
          <w:b/>
          <w:sz w:val="20"/>
          <w:szCs w:val="20"/>
        </w:rPr>
        <w:t>zeitliche Dynamik</w:t>
      </w:r>
      <w:r w:rsidRPr="00D21A09">
        <w:rPr>
          <w:rFonts w:ascii="Verdana" w:hAnsi="Verdana"/>
          <w:sz w:val="20"/>
          <w:szCs w:val="20"/>
        </w:rPr>
        <w:t xml:space="preserve">: In Griechenland, Portugal, Spanien vollzog sich bis Mitte der 1980er/90er keine Konvergenz. (2) Dann erfolgte durch den EG-Beitritt ein zweites Konvergenzintervall und den maximalen BIP/Kopf-Wert. (3) Ab 2009 kam es zu einer beschleunigten Dynamik der Divergenz. (4) </w:t>
      </w:r>
      <w:r w:rsidR="00CA2673" w:rsidRPr="00D21A09">
        <w:rPr>
          <w:rFonts w:ascii="Verdana" w:hAnsi="Verdana"/>
          <w:sz w:val="20"/>
          <w:szCs w:val="20"/>
        </w:rPr>
        <w:t>In Folge der globalen Finanz- und Wir</w:t>
      </w:r>
      <w:r w:rsidR="00CA2673" w:rsidRPr="00D21A09">
        <w:rPr>
          <w:rFonts w:ascii="Verdana" w:hAnsi="Verdana"/>
          <w:sz w:val="20"/>
          <w:szCs w:val="20"/>
        </w:rPr>
        <w:t>t</w:t>
      </w:r>
      <w:r w:rsidR="00CA2673" w:rsidRPr="00D21A09">
        <w:rPr>
          <w:rFonts w:ascii="Verdana" w:hAnsi="Verdana"/>
          <w:sz w:val="20"/>
          <w:szCs w:val="20"/>
        </w:rPr>
        <w:t>schaftskrise kam in diesen Ländern der Konvergenzprozess zum E</w:t>
      </w:r>
      <w:r w:rsidR="00CA2673" w:rsidRPr="00D21A09">
        <w:rPr>
          <w:rFonts w:ascii="Verdana" w:hAnsi="Verdana"/>
          <w:sz w:val="20"/>
          <w:szCs w:val="20"/>
        </w:rPr>
        <w:t>r</w:t>
      </w:r>
      <w:r w:rsidR="00CA2673" w:rsidRPr="00D21A09">
        <w:rPr>
          <w:rFonts w:ascii="Verdana" w:hAnsi="Verdana"/>
          <w:sz w:val="20"/>
          <w:szCs w:val="20"/>
        </w:rPr>
        <w:t xml:space="preserve">liegen, der aktuell anhält (Goecke 2013, 7ff). </w:t>
      </w:r>
    </w:p>
    <w:p w:rsidR="00CA2673" w:rsidRPr="00D21A09" w:rsidRDefault="00D21A09" w:rsidP="00D21A09">
      <w:pPr>
        <w:pStyle w:val="KeinLeerraum"/>
        <w:rPr>
          <w:rFonts w:ascii="Verdana" w:hAnsi="Verdana"/>
          <w:sz w:val="20"/>
          <w:szCs w:val="20"/>
        </w:rPr>
      </w:pPr>
      <w:r>
        <w:rPr>
          <w:rFonts w:ascii="Verdana" w:hAnsi="Verdana"/>
          <w:sz w:val="20"/>
          <w:szCs w:val="20"/>
        </w:rPr>
        <w:br/>
      </w:r>
      <w:r w:rsidR="00CA2673" w:rsidRPr="00D21A09">
        <w:rPr>
          <w:rFonts w:ascii="Verdana" w:hAnsi="Verdana"/>
          <w:sz w:val="20"/>
          <w:szCs w:val="20"/>
        </w:rPr>
        <w:t>-</w:t>
      </w:r>
    </w:p>
    <w:p w:rsidR="00CA2673" w:rsidRPr="00CA2673" w:rsidRDefault="00D21A09" w:rsidP="00CA2673">
      <w:pPr>
        <w:pStyle w:val="KeinLeerraum"/>
        <w:rPr>
          <w:rFonts w:ascii="Verdana" w:hAnsi="Verdana"/>
          <w:b/>
          <w:sz w:val="20"/>
          <w:szCs w:val="20"/>
          <w:u w:val="single"/>
        </w:rPr>
      </w:pPr>
      <w:r>
        <w:rPr>
          <w:rFonts w:ascii="Verdana" w:hAnsi="Verdana"/>
          <w:b/>
          <w:sz w:val="20"/>
          <w:szCs w:val="20"/>
          <w:u w:val="single"/>
        </w:rPr>
        <w:br/>
      </w:r>
      <w:bookmarkStart w:id="0" w:name="_GoBack"/>
      <w:bookmarkEnd w:id="0"/>
      <w:r w:rsidR="00CA2673" w:rsidRPr="00CA2673">
        <w:rPr>
          <w:rFonts w:ascii="Verdana" w:hAnsi="Verdana"/>
          <w:b/>
          <w:sz w:val="20"/>
          <w:szCs w:val="20"/>
          <w:u w:val="single"/>
        </w:rPr>
        <w:t>Europäische Agrarpolitik</w:t>
      </w:r>
    </w:p>
    <w:p w:rsidR="00CA2673" w:rsidRDefault="00CA2673" w:rsidP="00CA2673">
      <w:pPr>
        <w:pStyle w:val="KeinLeerraum"/>
        <w:rPr>
          <w:rFonts w:ascii="Verdana" w:hAnsi="Verdana"/>
          <w:b/>
          <w:sz w:val="20"/>
          <w:szCs w:val="20"/>
        </w:rPr>
      </w:pPr>
    </w:p>
    <w:p w:rsidR="00CA2673" w:rsidRDefault="00CA2673" w:rsidP="00CA2673">
      <w:pPr>
        <w:pStyle w:val="KeinLeerraum"/>
        <w:rPr>
          <w:rFonts w:ascii="Verdana" w:hAnsi="Verdana"/>
          <w:sz w:val="20"/>
          <w:szCs w:val="20"/>
        </w:rPr>
      </w:pPr>
      <w:r w:rsidRPr="00CA2673">
        <w:rPr>
          <w:rFonts w:ascii="Verdana" w:hAnsi="Verdana"/>
          <w:b/>
          <w:sz w:val="20"/>
          <w:szCs w:val="20"/>
        </w:rPr>
        <w:t>Europäischer Agrarfonds</w:t>
      </w:r>
      <w:r w:rsidRPr="00CA2673">
        <w:rPr>
          <w:rFonts w:ascii="Verdana" w:hAnsi="Verdana"/>
          <w:sz w:val="20"/>
          <w:szCs w:val="20"/>
        </w:rPr>
        <w:t>: meist sehr intransparente „Solidarleistungen“ für Unternehmen, Bauern usw.</w:t>
      </w:r>
    </w:p>
    <w:p w:rsidR="00CA2673" w:rsidRPr="00CA2673" w:rsidRDefault="00CA2673" w:rsidP="00CA2673">
      <w:pPr>
        <w:pStyle w:val="KeinLeerraum"/>
        <w:rPr>
          <w:rFonts w:ascii="Verdana" w:hAnsi="Verdana"/>
          <w:sz w:val="20"/>
          <w:szCs w:val="20"/>
        </w:rPr>
      </w:pPr>
      <w:r w:rsidRPr="00CA2673">
        <w:rPr>
          <w:rFonts w:ascii="Verdana" w:hAnsi="Verdana"/>
          <w:sz w:val="20"/>
          <w:szCs w:val="20"/>
        </w:rPr>
        <w:br/>
        <w:t>Durch Frankreich initiiert und v.a. für Frankreich wichtig (agrar- und v.a. milchindustriestark) Ausgangsszenario zur Begründung des Agrarfonds: Für die Gründerstaaten der EWG war primär die Sicherste</w:t>
      </w:r>
      <w:r w:rsidRPr="00CA2673">
        <w:rPr>
          <w:rFonts w:ascii="Verdana" w:hAnsi="Verdana"/>
          <w:sz w:val="20"/>
          <w:szCs w:val="20"/>
        </w:rPr>
        <w:t>l</w:t>
      </w:r>
      <w:r w:rsidRPr="00CA2673">
        <w:rPr>
          <w:rFonts w:ascii="Verdana" w:hAnsi="Verdana"/>
          <w:sz w:val="20"/>
          <w:szCs w:val="20"/>
        </w:rPr>
        <w:t xml:space="preserve">lung der nationalen Ernährung von besonderer Bedeutung. </w:t>
      </w:r>
    </w:p>
    <w:p w:rsidR="00210863" w:rsidRPr="00600C69" w:rsidRDefault="00210863" w:rsidP="00600C69">
      <w:pPr>
        <w:rPr>
          <w:rFonts w:ascii="Verdana" w:hAnsi="Verdana"/>
          <w:sz w:val="20"/>
          <w:szCs w:val="20"/>
        </w:rPr>
      </w:pPr>
    </w:p>
    <w:p w:rsidR="000D203F" w:rsidRDefault="000D203F">
      <w:pPr>
        <w:rPr>
          <w:rFonts w:ascii="Verdana" w:hAnsi="Verdana"/>
          <w:sz w:val="20"/>
          <w:szCs w:val="20"/>
        </w:rPr>
      </w:pPr>
    </w:p>
    <w:p w:rsidR="000D203F" w:rsidRPr="006618D0" w:rsidRDefault="000D203F">
      <w:pPr>
        <w:rPr>
          <w:rFonts w:ascii="Verdana" w:hAnsi="Verdana"/>
          <w:sz w:val="20"/>
          <w:szCs w:val="20"/>
        </w:rPr>
      </w:pPr>
    </w:p>
    <w:sectPr w:rsidR="000D203F" w:rsidRPr="00661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6D91"/>
    <w:multiLevelType w:val="hybridMultilevel"/>
    <w:tmpl w:val="DEBECA8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B093BE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F995CAD"/>
    <w:multiLevelType w:val="singleLevel"/>
    <w:tmpl w:val="0FCC50EA"/>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D0"/>
    <w:rsid w:val="00033B9D"/>
    <w:rsid w:val="000D203F"/>
    <w:rsid w:val="001A48A4"/>
    <w:rsid w:val="002061D6"/>
    <w:rsid w:val="00210863"/>
    <w:rsid w:val="00337012"/>
    <w:rsid w:val="00597709"/>
    <w:rsid w:val="00600C69"/>
    <w:rsid w:val="006618D0"/>
    <w:rsid w:val="00693678"/>
    <w:rsid w:val="00A021FC"/>
    <w:rsid w:val="00B62121"/>
    <w:rsid w:val="00CA2673"/>
    <w:rsid w:val="00D12F93"/>
    <w:rsid w:val="00D21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3EF20-2A6A-4443-A4F9-A014916D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618D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18D0"/>
    <w:rPr>
      <w:rFonts w:asciiTheme="majorHAnsi" w:eastAsiaTheme="majorEastAsia" w:hAnsiTheme="majorHAnsi" w:cstheme="majorBidi"/>
      <w:color w:val="2E74B5" w:themeColor="accent1" w:themeShade="BF"/>
      <w:sz w:val="32"/>
      <w:szCs w:val="32"/>
      <w:lang w:eastAsia="de-DE"/>
    </w:rPr>
  </w:style>
  <w:style w:type="paragraph" w:styleId="KeinLeerraum">
    <w:name w:val="No Spacing"/>
    <w:uiPriority w:val="1"/>
    <w:qFormat/>
    <w:rsid w:val="00B62121"/>
    <w:pPr>
      <w:spacing w:after="0" w:line="240" w:lineRule="auto"/>
    </w:pPr>
  </w:style>
  <w:style w:type="paragraph" w:styleId="Textkrper">
    <w:name w:val="Body Text"/>
    <w:basedOn w:val="Standard"/>
    <w:link w:val="TextkrperZchn"/>
    <w:rsid w:val="00597709"/>
    <w:pPr>
      <w:spacing w:after="0" w:line="36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597709"/>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2</cp:revision>
  <dcterms:created xsi:type="dcterms:W3CDTF">2018-07-18T13:42:00Z</dcterms:created>
  <dcterms:modified xsi:type="dcterms:W3CDTF">2018-07-18T15:54:00Z</dcterms:modified>
</cp:coreProperties>
</file>