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19" w:rsidRDefault="00FA1B19" w:rsidP="00C17D30">
      <w:pPr>
        <w:pStyle w:val="berschrift1"/>
      </w:pPr>
      <w:r>
        <w:t>5. Gleichstellungspolitik</w:t>
      </w:r>
    </w:p>
    <w:p w:rsidR="00FA1B19" w:rsidRPr="00471273" w:rsidRDefault="00C17D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FA1B19" w:rsidRPr="00471273">
        <w:rPr>
          <w:rFonts w:ascii="Verdana" w:hAnsi="Verdana"/>
          <w:sz w:val="20"/>
          <w:szCs w:val="20"/>
        </w:rPr>
        <w:t xml:space="preserve">1. </w:t>
      </w:r>
      <w:r w:rsidR="00FA1B19" w:rsidRPr="00471273">
        <w:rPr>
          <w:rFonts w:ascii="Verdana" w:hAnsi="Verdana"/>
          <w:b/>
          <w:sz w:val="20"/>
          <w:szCs w:val="20"/>
          <w:u w:val="single"/>
        </w:rPr>
        <w:t>Allgemeines und Arrogantes</w:t>
      </w:r>
    </w:p>
    <w:p w:rsidR="009B2382" w:rsidRPr="00471273" w:rsidRDefault="009B2382" w:rsidP="00FA1B19">
      <w:pPr>
        <w:rPr>
          <w:rFonts w:ascii="Verdana" w:hAnsi="Verdana"/>
          <w:sz w:val="20"/>
          <w:szCs w:val="20"/>
        </w:rPr>
      </w:pPr>
      <w:r w:rsidRPr="00471273">
        <w:rPr>
          <w:rFonts w:ascii="Verdana" w:hAnsi="Verdana"/>
          <w:sz w:val="20"/>
          <w:szCs w:val="20"/>
        </w:rPr>
        <w:t>Gründe für Lohnunterschiede:</w:t>
      </w:r>
      <w:r w:rsidRPr="00471273">
        <w:rPr>
          <w:rFonts w:ascii="Verdana" w:hAnsi="Verdana"/>
          <w:sz w:val="20"/>
          <w:szCs w:val="20"/>
        </w:rPr>
        <w:br/>
      </w:r>
      <w:r w:rsidRPr="007F3475">
        <w:rPr>
          <w:rFonts w:ascii="Verdana" w:hAnsi="Verdana"/>
          <w:b/>
          <w:sz w:val="20"/>
          <w:szCs w:val="20"/>
        </w:rPr>
        <w:t>a)</w:t>
      </w:r>
      <w:r w:rsidRPr="00471273">
        <w:rPr>
          <w:rFonts w:ascii="Verdana" w:hAnsi="Verdana"/>
          <w:sz w:val="20"/>
          <w:szCs w:val="20"/>
        </w:rPr>
        <w:t xml:space="preserve"> Die Frau gibt Heim und Familie den Vorzug.</w:t>
      </w:r>
      <w:r w:rsidRPr="00471273">
        <w:rPr>
          <w:rFonts w:ascii="Verdana" w:hAnsi="Verdana"/>
          <w:sz w:val="20"/>
          <w:szCs w:val="20"/>
        </w:rPr>
        <w:br/>
      </w:r>
      <w:r w:rsidRPr="007F3475">
        <w:rPr>
          <w:rFonts w:ascii="Verdana" w:hAnsi="Verdana"/>
          <w:b/>
          <w:sz w:val="20"/>
          <w:szCs w:val="20"/>
        </w:rPr>
        <w:t>b)</w:t>
      </w:r>
      <w:r w:rsidRPr="00471273">
        <w:rPr>
          <w:rFonts w:ascii="Verdana" w:hAnsi="Verdana"/>
          <w:sz w:val="20"/>
          <w:szCs w:val="20"/>
        </w:rPr>
        <w:t xml:space="preserve"> die Frau ist weniger produktiv, z.B. wegen Qualifikation oder geringerer Berufserfahrung.</w:t>
      </w:r>
      <w:r w:rsidRPr="00471273">
        <w:rPr>
          <w:rFonts w:ascii="Verdana" w:hAnsi="Verdana"/>
          <w:sz w:val="20"/>
          <w:szCs w:val="20"/>
        </w:rPr>
        <w:br/>
      </w:r>
      <w:r w:rsidRPr="007F3475">
        <w:rPr>
          <w:rFonts w:ascii="Verdana" w:hAnsi="Verdana"/>
          <w:b/>
          <w:sz w:val="20"/>
          <w:szCs w:val="20"/>
        </w:rPr>
        <w:t>c)</w:t>
      </w:r>
      <w:r w:rsidRPr="00471273">
        <w:rPr>
          <w:rFonts w:ascii="Verdana" w:hAnsi="Verdana"/>
          <w:sz w:val="20"/>
          <w:szCs w:val="20"/>
        </w:rPr>
        <w:t xml:space="preserve"> die Frau wird </w:t>
      </w:r>
      <w:r w:rsidR="00471273" w:rsidRPr="00471273">
        <w:rPr>
          <w:rFonts w:ascii="Verdana" w:hAnsi="Verdana"/>
          <w:i/>
          <w:sz w:val="20"/>
          <w:szCs w:val="20"/>
        </w:rPr>
        <w:t>diskriminiert</w:t>
      </w:r>
      <w:r w:rsidR="00471273" w:rsidRPr="00471273">
        <w:rPr>
          <w:rFonts w:ascii="Verdana" w:hAnsi="Verdana"/>
          <w:sz w:val="20"/>
          <w:szCs w:val="20"/>
        </w:rPr>
        <w:t xml:space="preserve">, d.h. </w:t>
      </w:r>
      <w:r w:rsidRPr="00471273">
        <w:rPr>
          <w:rFonts w:ascii="Verdana" w:hAnsi="Verdana"/>
          <w:sz w:val="20"/>
          <w:szCs w:val="20"/>
        </w:rPr>
        <w:t>im Arbeitsprozess schlechter behandelt als der Mann.</w:t>
      </w:r>
    </w:p>
    <w:p w:rsidR="005455A5" w:rsidRDefault="005455A5" w:rsidP="00FA1B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</w:p>
    <w:p w:rsidR="00C17D30" w:rsidRDefault="005455A5" w:rsidP="00FA1B19">
      <w:pPr>
        <w:rPr>
          <w:rFonts w:ascii="Verdana" w:hAnsi="Verdana"/>
          <w:sz w:val="20"/>
          <w:szCs w:val="20"/>
        </w:rPr>
      </w:pPr>
      <w:r w:rsidRPr="005455A5"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455A5">
        <w:rPr>
          <w:rFonts w:ascii="Verdana" w:hAnsi="Verdana"/>
          <w:b/>
          <w:sz w:val="20"/>
          <w:szCs w:val="20"/>
          <w:u w:val="single"/>
        </w:rPr>
        <w:t>Theoretische Ansätze zur Entgeltsgleichheit</w:t>
      </w:r>
      <w:r w:rsidR="00471273" w:rsidRPr="00471273">
        <w:rPr>
          <w:rFonts w:ascii="Verdana" w:hAnsi="Verdana"/>
          <w:sz w:val="20"/>
          <w:szCs w:val="20"/>
        </w:rPr>
        <w:br/>
      </w:r>
      <w:r w:rsidR="00471273" w:rsidRPr="003E0396">
        <w:rPr>
          <w:rFonts w:ascii="Verdana" w:hAnsi="Verdana"/>
          <w:b/>
          <w:sz w:val="20"/>
          <w:szCs w:val="20"/>
        </w:rPr>
        <w:t>Angebotsorientierte Ansätze</w:t>
      </w:r>
      <w:r w:rsidR="00471273" w:rsidRPr="00471273">
        <w:rPr>
          <w:rFonts w:ascii="Verdana" w:hAnsi="Verdana"/>
          <w:sz w:val="20"/>
          <w:szCs w:val="20"/>
        </w:rPr>
        <w:t xml:space="preserve">: </w:t>
      </w:r>
      <w:r w:rsidR="00471273">
        <w:rPr>
          <w:rFonts w:ascii="Verdana" w:hAnsi="Verdana"/>
          <w:sz w:val="20"/>
          <w:szCs w:val="20"/>
        </w:rPr>
        <w:t>Entscheidung des HH, dem die Arbeitskraft angehört.</w:t>
      </w:r>
      <w:r w:rsidR="003E0396">
        <w:rPr>
          <w:rFonts w:ascii="Verdana" w:hAnsi="Verdana"/>
          <w:sz w:val="20"/>
          <w:szCs w:val="20"/>
        </w:rPr>
        <w:br/>
      </w:r>
      <w:r w:rsidR="003E0396" w:rsidRPr="003E0396">
        <w:rPr>
          <w:rFonts w:ascii="Verdana" w:hAnsi="Verdana"/>
          <w:b/>
          <w:sz w:val="20"/>
          <w:szCs w:val="20"/>
        </w:rPr>
        <w:t>Humankapitaltheorie</w:t>
      </w:r>
      <w:r w:rsidR="003E0396">
        <w:rPr>
          <w:rFonts w:ascii="Verdana" w:hAnsi="Verdana"/>
          <w:sz w:val="20"/>
          <w:szCs w:val="20"/>
        </w:rPr>
        <w:t>: Fak</w:t>
      </w:r>
      <w:r w:rsidR="00BC1CE8">
        <w:rPr>
          <w:rFonts w:ascii="Verdana" w:hAnsi="Verdana"/>
          <w:sz w:val="20"/>
          <w:szCs w:val="20"/>
        </w:rPr>
        <w:t>tor Arbeit als Investitionsgut (v.a. Bildung), Männer werden entsprechend ihrer höheren Grenzproduktivität höher entlohnt (nicht substituierbar).</w:t>
      </w:r>
      <w:r w:rsidR="00C17D30">
        <w:rPr>
          <w:rFonts w:ascii="Verdana" w:hAnsi="Verdana"/>
          <w:sz w:val="20"/>
          <w:szCs w:val="20"/>
        </w:rPr>
        <w:br/>
      </w:r>
      <w:r w:rsidR="00C17D30" w:rsidRPr="00C17D30">
        <w:rPr>
          <w:rFonts w:ascii="Verdana" w:hAnsi="Verdana"/>
          <w:b/>
          <w:sz w:val="20"/>
          <w:szCs w:val="20"/>
        </w:rPr>
        <w:t>Nachfrageorientierte Ansätze</w:t>
      </w:r>
      <w:r w:rsidR="00C17D30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Eine Geschlechterklassifikation als Ordnungsprinzip unternehmerischer Personalentscheidungen sorgt für eine horizontale und vertikale Segmentierung zum Nachteil der Frau.</w:t>
      </w:r>
    </w:p>
    <w:p w:rsidR="00BC1CE8" w:rsidRDefault="00C17D30" w:rsidP="00FA1B19">
      <w:pPr>
        <w:rPr>
          <w:rFonts w:ascii="Verdana" w:hAnsi="Verdana"/>
          <w:sz w:val="20"/>
          <w:szCs w:val="20"/>
        </w:rPr>
      </w:pPr>
      <w:r w:rsidRPr="00C17D30">
        <w:rPr>
          <w:rFonts w:ascii="Verdana" w:hAnsi="Verdana"/>
          <w:b/>
          <w:sz w:val="20"/>
          <w:szCs w:val="20"/>
        </w:rPr>
        <w:t>Opportunitätskosten von Bildung</w:t>
      </w:r>
      <w:r>
        <w:rPr>
          <w:rFonts w:ascii="Verdana" w:hAnsi="Verdana"/>
          <w:sz w:val="20"/>
          <w:szCs w:val="20"/>
        </w:rPr>
        <w:t xml:space="preserve">: Wer </w:t>
      </w:r>
      <w:proofErr w:type="spellStart"/>
      <w:r>
        <w:rPr>
          <w:rFonts w:ascii="Verdana" w:hAnsi="Verdana"/>
          <w:sz w:val="20"/>
          <w:szCs w:val="20"/>
        </w:rPr>
        <w:t>zB</w:t>
      </w:r>
      <w:proofErr w:type="spellEnd"/>
      <w:r>
        <w:rPr>
          <w:rFonts w:ascii="Verdana" w:hAnsi="Verdana"/>
          <w:sz w:val="20"/>
          <w:szCs w:val="20"/>
        </w:rPr>
        <w:t xml:space="preserve">. studiert, kann in der Zeit keine andere Tätigkeit ausüben. </w:t>
      </w:r>
      <w:r w:rsidR="005455A5">
        <w:rPr>
          <w:rFonts w:ascii="Verdana" w:hAnsi="Verdana"/>
          <w:sz w:val="20"/>
          <w:szCs w:val="20"/>
        </w:rPr>
        <w:t xml:space="preserve">Dafür </w:t>
      </w:r>
      <w:r>
        <w:rPr>
          <w:rFonts w:ascii="Verdana" w:hAnsi="Verdana"/>
          <w:sz w:val="20"/>
          <w:szCs w:val="20"/>
        </w:rPr>
        <w:t xml:space="preserve">verbessert </w:t>
      </w:r>
      <w:r w:rsidR="005455A5">
        <w:rPr>
          <w:rFonts w:ascii="Verdana" w:hAnsi="Verdana"/>
          <w:sz w:val="20"/>
          <w:szCs w:val="20"/>
        </w:rPr>
        <w:t xml:space="preserve">Bildung </w:t>
      </w:r>
      <w:r>
        <w:rPr>
          <w:rFonts w:ascii="Verdana" w:hAnsi="Verdana"/>
          <w:sz w:val="20"/>
          <w:szCs w:val="20"/>
        </w:rPr>
        <w:t>aber die Qualität des Faktors Arbeit.</w:t>
      </w:r>
    </w:p>
    <w:p w:rsidR="005455A5" w:rsidRDefault="005455A5" w:rsidP="00FA1B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</w:p>
    <w:p w:rsidR="005455A5" w:rsidRDefault="005455A5" w:rsidP="00FA1B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5455A5">
        <w:rPr>
          <w:rFonts w:ascii="Verdana" w:hAnsi="Verdana"/>
          <w:b/>
          <w:sz w:val="20"/>
          <w:szCs w:val="20"/>
          <w:u w:val="single"/>
        </w:rPr>
        <w:t>Europäische Institutionen</w:t>
      </w:r>
    </w:p>
    <w:p w:rsidR="00A16EAA" w:rsidRDefault="00A16EAA" w:rsidP="00A16EAA">
      <w:pPr>
        <w:pStyle w:val="KeinLeerraum"/>
        <w:rPr>
          <w:rFonts w:ascii="Verdana" w:hAnsi="Verdana"/>
          <w:sz w:val="20"/>
          <w:szCs w:val="20"/>
        </w:rPr>
      </w:pPr>
      <w:r w:rsidRPr="00A16EAA">
        <w:rPr>
          <w:rFonts w:ascii="Verdana" w:hAnsi="Verdana"/>
          <w:b/>
          <w:sz w:val="20"/>
          <w:szCs w:val="20"/>
        </w:rPr>
        <w:t>Vertrag über die Arbeitsweise der Europäischen Union</w:t>
      </w:r>
      <w:r w:rsidRPr="00A16EAA">
        <w:rPr>
          <w:rFonts w:ascii="Verdana" w:hAnsi="Verdana"/>
          <w:sz w:val="20"/>
          <w:szCs w:val="20"/>
        </w:rPr>
        <w:t xml:space="preserve"> Art. 157</w:t>
      </w:r>
      <w:r>
        <w:rPr>
          <w:rFonts w:ascii="Verdana" w:hAnsi="Verdana"/>
          <w:sz w:val="20"/>
          <w:szCs w:val="20"/>
        </w:rPr>
        <w:t>, Absatz (1)</w:t>
      </w:r>
      <w:r w:rsidRPr="00A16EAA">
        <w:rPr>
          <w:rFonts w:ascii="Verdana" w:hAnsi="Verdana"/>
          <w:sz w:val="20"/>
          <w:szCs w:val="20"/>
        </w:rPr>
        <w:t>: Jeder Mitgliedstaat stellt die Anwendung des Grundsatzes des gleichen Entgelts für Männer und Frauen bei gleicher oder gleichwertiger Arbeit sicher.</w:t>
      </w:r>
    </w:p>
    <w:p w:rsidR="00A16EAA" w:rsidRDefault="00A16EAA" w:rsidP="00A16EAA">
      <w:pPr>
        <w:pStyle w:val="KeinLeerraum"/>
        <w:rPr>
          <w:rFonts w:ascii="Verdana" w:hAnsi="Verdana"/>
          <w:sz w:val="20"/>
          <w:szCs w:val="20"/>
        </w:rPr>
      </w:pPr>
      <w:r w:rsidRPr="00A16EAA">
        <w:rPr>
          <w:rFonts w:ascii="Verdana" w:hAnsi="Verdana"/>
          <w:b/>
          <w:sz w:val="20"/>
          <w:szCs w:val="20"/>
        </w:rPr>
        <w:t>Ziel</w:t>
      </w:r>
      <w:r w:rsidRPr="00A16EAA">
        <w:rPr>
          <w:rFonts w:ascii="Verdana" w:hAnsi="Verdana"/>
          <w:sz w:val="20"/>
          <w:szCs w:val="20"/>
        </w:rPr>
        <w:t xml:space="preserve">: </w:t>
      </w:r>
      <w:r w:rsidR="000E09F1" w:rsidRPr="000E09F1">
        <w:rPr>
          <w:rFonts w:ascii="Verdana" w:hAnsi="Verdana"/>
          <w:sz w:val="20"/>
          <w:szCs w:val="20"/>
        </w:rPr>
        <w:t xml:space="preserve">entgeltliche Gleichbehandlungspolitik </w:t>
      </w:r>
      <w:r w:rsidR="000E09F1">
        <w:rPr>
          <w:rFonts w:ascii="Verdana" w:hAnsi="Verdana"/>
          <w:sz w:val="20"/>
          <w:szCs w:val="20"/>
        </w:rPr>
        <w:t xml:space="preserve">/ </w:t>
      </w:r>
      <w:r w:rsidRPr="00A16EAA">
        <w:rPr>
          <w:rFonts w:ascii="Verdana" w:hAnsi="Verdana"/>
          <w:sz w:val="20"/>
          <w:szCs w:val="20"/>
        </w:rPr>
        <w:t xml:space="preserve">Verbot </w:t>
      </w:r>
      <w:proofErr w:type="spellStart"/>
      <w:r w:rsidRPr="00A16EAA">
        <w:rPr>
          <w:rFonts w:ascii="Verdana" w:hAnsi="Verdana"/>
          <w:sz w:val="20"/>
          <w:szCs w:val="20"/>
        </w:rPr>
        <w:t>geschlech</w:t>
      </w:r>
      <w:r w:rsidR="000E09F1">
        <w:rPr>
          <w:rFonts w:ascii="Verdana" w:hAnsi="Verdana"/>
          <w:sz w:val="20"/>
          <w:szCs w:val="20"/>
        </w:rPr>
        <w:t>tssp</w:t>
      </w:r>
      <w:proofErr w:type="spellEnd"/>
      <w:r w:rsidR="000E09F1">
        <w:rPr>
          <w:rFonts w:ascii="Verdana" w:hAnsi="Verdana"/>
          <w:sz w:val="20"/>
          <w:szCs w:val="20"/>
        </w:rPr>
        <w:t>. Diskriminierung</w:t>
      </w:r>
      <w:r>
        <w:rPr>
          <w:rFonts w:ascii="Verdana" w:hAnsi="Verdana"/>
          <w:sz w:val="20"/>
          <w:szCs w:val="20"/>
        </w:rPr>
        <w:br/>
      </w:r>
      <w:r w:rsidRPr="00A16EAA">
        <w:rPr>
          <w:rFonts w:ascii="Verdana" w:hAnsi="Verdana"/>
          <w:b/>
          <w:sz w:val="20"/>
          <w:szCs w:val="20"/>
        </w:rPr>
        <w:t>Probleme</w:t>
      </w:r>
      <w:r>
        <w:rPr>
          <w:rFonts w:ascii="Verdana" w:hAnsi="Verdana"/>
          <w:sz w:val="20"/>
          <w:szCs w:val="20"/>
        </w:rPr>
        <w:t xml:space="preserve">: </w:t>
      </w:r>
      <w:r w:rsidRPr="00A16EAA">
        <w:rPr>
          <w:rFonts w:ascii="Verdana" w:hAnsi="Verdana"/>
          <w:sz w:val="20"/>
          <w:szCs w:val="20"/>
        </w:rPr>
        <w:t>Maßnahmen supranationaler Sozialpolitik sind eher weich, pragmatisch oder ste</w:t>
      </w:r>
      <w:r>
        <w:rPr>
          <w:rFonts w:ascii="Verdana" w:hAnsi="Verdana"/>
          <w:sz w:val="20"/>
          <w:szCs w:val="20"/>
        </w:rPr>
        <w:t>hen unter Vorbehalt</w:t>
      </w:r>
      <w:r w:rsidRPr="00A16EAA">
        <w:rPr>
          <w:rFonts w:ascii="Verdana" w:hAnsi="Verdana"/>
          <w:sz w:val="20"/>
          <w:szCs w:val="20"/>
        </w:rPr>
        <w:t xml:space="preserve">: </w:t>
      </w:r>
      <w:r w:rsidR="007F3475" w:rsidRPr="007F3475">
        <w:rPr>
          <w:rFonts w:ascii="Verdana" w:hAnsi="Verdana"/>
          <w:i/>
          <w:sz w:val="20"/>
          <w:szCs w:val="20"/>
        </w:rPr>
        <w:t>trade-off</w:t>
      </w:r>
      <w:r w:rsidRPr="00A16EAA">
        <w:rPr>
          <w:rFonts w:ascii="Verdana" w:hAnsi="Verdana"/>
          <w:sz w:val="20"/>
          <w:szCs w:val="20"/>
        </w:rPr>
        <w:t xml:space="preserve"> zwischen allokativer Effiz</w:t>
      </w:r>
      <w:r>
        <w:rPr>
          <w:rFonts w:ascii="Verdana" w:hAnsi="Verdana"/>
          <w:sz w:val="20"/>
          <w:szCs w:val="20"/>
        </w:rPr>
        <w:t>ienz und sozialer Gerechtigkeit</w:t>
      </w:r>
    </w:p>
    <w:p w:rsidR="00A16EAA" w:rsidRDefault="00A16EAA" w:rsidP="00A16EAA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A16EAA">
        <w:rPr>
          <w:rFonts w:ascii="Verdana" w:hAnsi="Verdana"/>
          <w:b/>
          <w:sz w:val="20"/>
          <w:szCs w:val="20"/>
        </w:rPr>
        <w:t>Richtlinie</w:t>
      </w:r>
      <w:r>
        <w:rPr>
          <w:rFonts w:ascii="Verdana" w:hAnsi="Verdana"/>
          <w:sz w:val="20"/>
          <w:szCs w:val="20"/>
        </w:rPr>
        <w:t>: der Arbeitgeber selbst hat nachzuweisen, ob eine Diskriminierung vorliegt und gerechtfertigt / zulässig ist, d.h. ob sie</w:t>
      </w:r>
      <w:r>
        <w:rPr>
          <w:rFonts w:ascii="Verdana" w:hAnsi="Verdana"/>
          <w:sz w:val="20"/>
          <w:szCs w:val="20"/>
        </w:rPr>
        <w:br/>
        <w:t>a) objektiv ist</w:t>
      </w:r>
      <w:r w:rsidR="000E09F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>b) ein rechtmäßiges Ziel verfolgt, dass qua D. keinem Diskriminierungszweck folgt.</w:t>
      </w:r>
      <w:r>
        <w:rPr>
          <w:rFonts w:ascii="Verdana" w:hAnsi="Verdana"/>
          <w:sz w:val="20"/>
          <w:szCs w:val="20"/>
        </w:rPr>
        <w:br/>
        <w:t xml:space="preserve">c) </w:t>
      </w:r>
      <w:r w:rsidR="000E09F1">
        <w:rPr>
          <w:rFonts w:ascii="Verdana" w:hAnsi="Verdana"/>
          <w:sz w:val="20"/>
          <w:szCs w:val="20"/>
        </w:rPr>
        <w:t>einem tatsächlichen Erfordernis dienen.</w:t>
      </w:r>
    </w:p>
    <w:p w:rsidR="000E09F1" w:rsidRDefault="000E09F1" w:rsidP="00A16EAA">
      <w:pPr>
        <w:pStyle w:val="KeinLeerraum"/>
        <w:rPr>
          <w:rFonts w:ascii="Verdana" w:hAnsi="Verdana"/>
          <w:sz w:val="20"/>
          <w:szCs w:val="20"/>
        </w:rPr>
      </w:pPr>
    </w:p>
    <w:p w:rsidR="000E09F1" w:rsidRDefault="000E09F1" w:rsidP="00A16EAA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</w:p>
    <w:p w:rsidR="000E09F1" w:rsidRDefault="000E09F1" w:rsidP="00A16EAA">
      <w:pPr>
        <w:pStyle w:val="KeinLeerraum"/>
        <w:rPr>
          <w:rFonts w:ascii="Verdana" w:hAnsi="Verdana"/>
          <w:sz w:val="20"/>
          <w:szCs w:val="20"/>
        </w:rPr>
      </w:pPr>
    </w:p>
    <w:p w:rsidR="005455A5" w:rsidRDefault="000E09F1" w:rsidP="00905D6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905D62">
        <w:rPr>
          <w:rFonts w:ascii="Verdana" w:hAnsi="Verdana"/>
          <w:b/>
          <w:sz w:val="20"/>
          <w:szCs w:val="20"/>
          <w:u w:val="single"/>
        </w:rPr>
        <w:t>Mutterschaftsurlaub</w:t>
      </w:r>
    </w:p>
    <w:p w:rsidR="005F73F4" w:rsidRDefault="00905D62" w:rsidP="00FA1B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0E09F1">
        <w:rPr>
          <w:rFonts w:ascii="Verdana" w:hAnsi="Verdana"/>
          <w:sz w:val="20"/>
          <w:szCs w:val="20"/>
        </w:rPr>
        <w:t xml:space="preserve">Im nationalen Kontext wird z.B. Familienplanung als distributive Maßnahme der Familienpolitik geregelt. Die EU verfügt aber über </w:t>
      </w:r>
      <w:r w:rsidR="000E09F1" w:rsidRPr="00AB390B">
        <w:rPr>
          <w:rFonts w:ascii="Verdana" w:hAnsi="Verdana"/>
          <w:b/>
          <w:sz w:val="20"/>
          <w:szCs w:val="20"/>
        </w:rPr>
        <w:t>kein familienpolitisches Mandat</w:t>
      </w:r>
      <w:r w:rsidR="000E09F1">
        <w:rPr>
          <w:rFonts w:ascii="Verdana" w:hAnsi="Verdana"/>
          <w:sz w:val="20"/>
          <w:szCs w:val="20"/>
        </w:rPr>
        <w:t>.</w:t>
      </w:r>
      <w:r w:rsidR="000E09F1">
        <w:rPr>
          <w:rFonts w:ascii="Verdana" w:hAnsi="Verdana"/>
          <w:sz w:val="20"/>
          <w:szCs w:val="20"/>
        </w:rPr>
        <w:br/>
      </w:r>
      <w:r w:rsidR="000E09F1" w:rsidRPr="000E09F1">
        <w:rPr>
          <w:rFonts w:ascii="Verdana" w:hAnsi="Verdana"/>
          <w:sz w:val="20"/>
          <w:szCs w:val="20"/>
        </w:rPr>
        <w:sym w:font="Wingdings" w:char="F0E0"/>
      </w:r>
      <w:r w:rsidR="000E09F1">
        <w:rPr>
          <w:rFonts w:ascii="Verdana" w:hAnsi="Verdana"/>
          <w:sz w:val="20"/>
          <w:szCs w:val="20"/>
        </w:rPr>
        <w:t xml:space="preserve"> Der bestehende</w:t>
      </w:r>
      <w:r w:rsidR="00AB390B">
        <w:rPr>
          <w:rFonts w:ascii="Verdana" w:hAnsi="Verdana"/>
          <w:sz w:val="20"/>
          <w:szCs w:val="20"/>
        </w:rPr>
        <w:t xml:space="preserve">, </w:t>
      </w:r>
      <w:r w:rsidR="00AB390B" w:rsidRPr="00AB390B">
        <w:rPr>
          <w:rFonts w:ascii="Verdana" w:hAnsi="Verdana"/>
          <w:b/>
          <w:sz w:val="20"/>
          <w:szCs w:val="20"/>
        </w:rPr>
        <w:t>zentralisierte</w:t>
      </w:r>
      <w:r w:rsidR="000E09F1">
        <w:rPr>
          <w:rFonts w:ascii="Verdana" w:hAnsi="Verdana"/>
          <w:sz w:val="20"/>
          <w:szCs w:val="20"/>
        </w:rPr>
        <w:t xml:space="preserve"> </w:t>
      </w:r>
      <w:r w:rsidR="000E09F1" w:rsidRPr="00AB390B">
        <w:rPr>
          <w:rFonts w:ascii="Verdana" w:hAnsi="Verdana"/>
          <w:b/>
          <w:sz w:val="20"/>
          <w:szCs w:val="20"/>
        </w:rPr>
        <w:t>Mutterschaftsurlaub</w:t>
      </w:r>
      <w:r w:rsidR="000E09F1">
        <w:rPr>
          <w:rFonts w:ascii="Verdana" w:hAnsi="Verdana"/>
          <w:sz w:val="20"/>
          <w:szCs w:val="20"/>
        </w:rPr>
        <w:t xml:space="preserve"> wird auf europäischer Ebene als </w:t>
      </w:r>
      <w:r w:rsidR="000E09F1" w:rsidRPr="000E09F1">
        <w:rPr>
          <w:rFonts w:ascii="Verdana" w:hAnsi="Verdana"/>
          <w:sz w:val="20"/>
          <w:szCs w:val="20"/>
        </w:rPr>
        <w:t>"</w:t>
      </w:r>
      <w:r w:rsidR="000E09F1">
        <w:rPr>
          <w:rFonts w:ascii="Verdana" w:hAnsi="Verdana"/>
          <w:sz w:val="20"/>
          <w:szCs w:val="20"/>
        </w:rPr>
        <w:t>Krankheit</w:t>
      </w:r>
      <w:r w:rsidR="000E09F1" w:rsidRPr="000E09F1">
        <w:rPr>
          <w:rFonts w:ascii="Verdana" w:hAnsi="Verdana"/>
          <w:sz w:val="20"/>
          <w:szCs w:val="20"/>
        </w:rPr>
        <w:t>"</w:t>
      </w:r>
      <w:r w:rsidR="000E09F1">
        <w:rPr>
          <w:rFonts w:ascii="Verdana" w:hAnsi="Verdana"/>
          <w:sz w:val="20"/>
          <w:szCs w:val="20"/>
        </w:rPr>
        <w:t xml:space="preserve"> konstruiert, um so sozialpolitisch begründet Transferleistungen zu legitimieren.</w:t>
      </w:r>
      <w:r w:rsidR="00AB390B">
        <w:rPr>
          <w:rFonts w:ascii="Verdana" w:hAnsi="Verdana"/>
          <w:sz w:val="20"/>
          <w:szCs w:val="20"/>
        </w:rPr>
        <w:br/>
      </w:r>
      <w:r w:rsidR="00AB390B" w:rsidRPr="00AB390B">
        <w:rPr>
          <w:rFonts w:ascii="Verdana" w:hAnsi="Verdana"/>
          <w:b/>
          <w:sz w:val="20"/>
          <w:szCs w:val="20"/>
        </w:rPr>
        <w:t>Mutterschutzurlaub</w:t>
      </w:r>
      <w:r w:rsidR="00AB390B">
        <w:rPr>
          <w:rFonts w:ascii="Verdana" w:hAnsi="Verdana"/>
          <w:sz w:val="20"/>
          <w:szCs w:val="20"/>
        </w:rPr>
        <w:t xml:space="preserve">: </w:t>
      </w:r>
      <w:r w:rsidR="005F73F4">
        <w:rPr>
          <w:rFonts w:ascii="Verdana" w:hAnsi="Verdana"/>
          <w:sz w:val="20"/>
          <w:szCs w:val="20"/>
        </w:rPr>
        <w:t xml:space="preserve">Anspruch </w:t>
      </w:r>
      <w:r w:rsidR="00AB390B">
        <w:rPr>
          <w:rFonts w:ascii="Verdana" w:hAnsi="Verdana"/>
          <w:sz w:val="20"/>
          <w:szCs w:val="20"/>
        </w:rPr>
        <w:t>Fortzahlung des vollen Arbeitslohns</w:t>
      </w:r>
      <w:r w:rsidR="005F73F4">
        <w:rPr>
          <w:rFonts w:ascii="Verdana" w:hAnsi="Verdana"/>
          <w:sz w:val="20"/>
          <w:szCs w:val="20"/>
        </w:rPr>
        <w:t xml:space="preserve"> für die gesamte Dauer des Beschäftigungsverbots (Deutschland: 14 Wochen).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5F73F4" w:rsidRPr="005F73F4">
        <w:rPr>
          <w:rFonts w:ascii="Verdana" w:hAnsi="Verdana"/>
          <w:b/>
          <w:sz w:val="20"/>
          <w:szCs w:val="20"/>
        </w:rPr>
        <w:t>Fertilitätsquote</w:t>
      </w:r>
      <w:r w:rsidR="005F73F4">
        <w:rPr>
          <w:rFonts w:ascii="Verdana" w:hAnsi="Verdana"/>
          <w:sz w:val="20"/>
          <w:szCs w:val="20"/>
        </w:rPr>
        <w:t>: seit 1991 bei 1,3 (2,1 wird benötigt)</w:t>
      </w:r>
      <w:r w:rsidR="005F73F4">
        <w:rPr>
          <w:rFonts w:ascii="Verdana" w:hAnsi="Verdana"/>
          <w:sz w:val="20"/>
          <w:szCs w:val="20"/>
        </w:rPr>
        <w:br/>
      </w:r>
      <w:r w:rsidR="005F73F4" w:rsidRPr="005F73F4">
        <w:rPr>
          <w:rFonts w:ascii="Verdana" w:hAnsi="Verdana"/>
          <w:b/>
          <w:sz w:val="20"/>
          <w:szCs w:val="20"/>
        </w:rPr>
        <w:t>Grund</w:t>
      </w:r>
      <w:r w:rsidR="005F73F4">
        <w:rPr>
          <w:rFonts w:ascii="Verdana" w:hAnsi="Verdana"/>
          <w:sz w:val="20"/>
          <w:szCs w:val="20"/>
        </w:rPr>
        <w:t>: Anti-Baby-Pille, trade-offs zwischen Karriere und Kinder in den 30er und 40er</w:t>
      </w:r>
      <w:r w:rsidR="005F73F4">
        <w:rPr>
          <w:rFonts w:ascii="Verdana" w:hAnsi="Verdana"/>
          <w:sz w:val="20"/>
          <w:szCs w:val="20"/>
        </w:rPr>
        <w:br/>
      </w:r>
      <w:r w:rsidR="005F73F4" w:rsidRPr="005F73F4">
        <w:rPr>
          <w:rFonts w:ascii="Verdana" w:hAnsi="Verdana"/>
          <w:b/>
          <w:sz w:val="20"/>
          <w:szCs w:val="20"/>
        </w:rPr>
        <w:t>Migration</w:t>
      </w:r>
      <w:r w:rsidR="005F73F4">
        <w:rPr>
          <w:rFonts w:ascii="Verdana" w:hAnsi="Verdana"/>
          <w:sz w:val="20"/>
          <w:szCs w:val="20"/>
        </w:rPr>
        <w:t>: löst Problem nicht, da Migranten sich Umfeld mittelfristig anpassen.</w:t>
      </w:r>
      <w:r w:rsidR="005F73F4">
        <w:rPr>
          <w:rFonts w:ascii="Verdana" w:hAnsi="Verdana"/>
          <w:sz w:val="20"/>
          <w:szCs w:val="20"/>
        </w:rPr>
        <w:br/>
      </w:r>
      <w:r w:rsidR="005F73F4" w:rsidRPr="005F73F4">
        <w:rPr>
          <w:rFonts w:ascii="Verdana" w:hAnsi="Verdana"/>
          <w:b/>
          <w:sz w:val="20"/>
          <w:szCs w:val="20"/>
        </w:rPr>
        <w:t>Lösung</w:t>
      </w:r>
      <w:r w:rsidR="005F73F4">
        <w:rPr>
          <w:rFonts w:ascii="Verdana" w:hAnsi="Verdana"/>
          <w:sz w:val="20"/>
          <w:szCs w:val="20"/>
        </w:rPr>
        <w:t>: kann laut einer Studie nur durch höhere Geburtenzahlen erreicht werden.</w:t>
      </w:r>
      <w:r w:rsidR="005F73F4">
        <w:rPr>
          <w:rFonts w:ascii="Verdana" w:hAnsi="Verdana"/>
          <w:sz w:val="20"/>
          <w:szCs w:val="20"/>
        </w:rPr>
        <w:br/>
      </w:r>
      <w:r w:rsidR="005F73F4" w:rsidRPr="005F73F4">
        <w:rPr>
          <w:rFonts w:ascii="Verdana" w:hAnsi="Verdana"/>
          <w:b/>
          <w:sz w:val="20"/>
          <w:szCs w:val="20"/>
        </w:rPr>
        <w:t>Studie</w:t>
      </w:r>
      <w:r w:rsidR="005F73F4">
        <w:rPr>
          <w:rFonts w:ascii="Verdana" w:hAnsi="Verdana"/>
          <w:sz w:val="20"/>
          <w:szCs w:val="20"/>
        </w:rPr>
        <w:t xml:space="preserve">: positiver Effekt auf Fertilitätsquote v.a. durch Förderung der Kinderbetreuung, </w:t>
      </w:r>
      <w:r w:rsidR="005F73F4">
        <w:rPr>
          <w:rFonts w:ascii="Verdana" w:hAnsi="Verdana"/>
          <w:sz w:val="20"/>
          <w:szCs w:val="20"/>
        </w:rPr>
        <w:lastRenderedPageBreak/>
        <w:t>danach Kindergelt, Kinderfreibetrag. Ehegattensplitting sehr ineffizient und teuer.</w:t>
      </w:r>
      <w:r w:rsidR="005F73F4">
        <w:rPr>
          <w:rFonts w:ascii="Verdana" w:hAnsi="Verdana"/>
          <w:sz w:val="20"/>
          <w:szCs w:val="20"/>
        </w:rPr>
        <w:br/>
      </w:r>
      <w:r w:rsidR="005F73F4" w:rsidRPr="005F73F4">
        <w:rPr>
          <w:rFonts w:ascii="Verdana" w:hAnsi="Verdana"/>
          <w:b/>
          <w:sz w:val="20"/>
          <w:szCs w:val="20"/>
        </w:rPr>
        <w:t>Positivbeispiele</w:t>
      </w:r>
      <w:r w:rsidR="005F73F4">
        <w:rPr>
          <w:rFonts w:ascii="Verdana" w:hAnsi="Verdana"/>
          <w:sz w:val="20"/>
          <w:szCs w:val="20"/>
        </w:rPr>
        <w:t>: Ganztagesbetreuung in Schweden und Frankreich (1,99 Kinder / Frau)</w:t>
      </w:r>
      <w:r w:rsidR="009B6C34">
        <w:rPr>
          <w:rFonts w:ascii="Verdana" w:hAnsi="Verdana"/>
          <w:sz w:val="20"/>
          <w:szCs w:val="20"/>
        </w:rPr>
        <w:br/>
        <w:t>Fertilitätsraten: In Entwicklungsländern (Afrika, Asien) viel höher als in Industrieländern.</w:t>
      </w:r>
    </w:p>
    <w:p w:rsidR="009B6C34" w:rsidRDefault="009B6C34" w:rsidP="00FA1B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</w:p>
    <w:p w:rsidR="009B6C34" w:rsidRDefault="009B6C34" w:rsidP="00FA1B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proofErr w:type="spellStart"/>
      <w:r w:rsidRPr="009B6C34">
        <w:rPr>
          <w:rFonts w:ascii="Verdana" w:hAnsi="Verdana"/>
          <w:b/>
          <w:sz w:val="20"/>
          <w:szCs w:val="20"/>
          <w:u w:val="single"/>
        </w:rPr>
        <w:t>Judizielle</w:t>
      </w:r>
      <w:proofErr w:type="spellEnd"/>
      <w:r w:rsidRPr="009B6C34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9B6C34">
        <w:rPr>
          <w:rFonts w:ascii="Verdana" w:hAnsi="Verdana"/>
          <w:b/>
          <w:sz w:val="20"/>
          <w:szCs w:val="20"/>
          <w:u w:val="single"/>
        </w:rPr>
        <w:t>Governance</w:t>
      </w:r>
      <w:proofErr w:type="spellEnd"/>
    </w:p>
    <w:p w:rsidR="007F3475" w:rsidRDefault="009B6C34" w:rsidP="007F34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Neben </w:t>
      </w:r>
      <w:proofErr w:type="spellStart"/>
      <w:r>
        <w:rPr>
          <w:rFonts w:ascii="Verdana" w:hAnsi="Verdana"/>
          <w:sz w:val="20"/>
          <w:szCs w:val="20"/>
        </w:rPr>
        <w:t>Governance</w:t>
      </w:r>
      <w:proofErr w:type="spellEnd"/>
      <w:r>
        <w:rPr>
          <w:rFonts w:ascii="Verdana" w:hAnsi="Verdana"/>
          <w:sz w:val="20"/>
          <w:szCs w:val="20"/>
        </w:rPr>
        <w:t xml:space="preserve"> durch Harmonisierung und OMK-</w:t>
      </w:r>
      <w:proofErr w:type="spellStart"/>
      <w:r>
        <w:rPr>
          <w:rFonts w:ascii="Verdana" w:hAnsi="Verdana"/>
          <w:sz w:val="20"/>
          <w:szCs w:val="20"/>
        </w:rPr>
        <w:t>Governance</w:t>
      </w:r>
      <w:proofErr w:type="spellEnd"/>
      <w:r>
        <w:rPr>
          <w:rFonts w:ascii="Verdana" w:hAnsi="Verdana"/>
          <w:sz w:val="20"/>
          <w:szCs w:val="20"/>
        </w:rPr>
        <w:t xml:space="preserve"> gibt es noch die </w:t>
      </w:r>
      <w:proofErr w:type="spellStart"/>
      <w:r w:rsidRPr="009B6C34">
        <w:rPr>
          <w:rFonts w:ascii="Verdana" w:hAnsi="Verdana"/>
          <w:b/>
          <w:sz w:val="20"/>
          <w:szCs w:val="20"/>
        </w:rPr>
        <w:t>Judizielle</w:t>
      </w:r>
      <w:proofErr w:type="spellEnd"/>
      <w:r w:rsidRPr="009B6C3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B6C34">
        <w:rPr>
          <w:rFonts w:ascii="Verdana" w:hAnsi="Verdana"/>
          <w:b/>
          <w:sz w:val="20"/>
          <w:szCs w:val="20"/>
        </w:rPr>
        <w:t>Governance</w:t>
      </w:r>
      <w:proofErr w:type="spellEnd"/>
      <w:r w:rsidRPr="009B6C34">
        <w:rPr>
          <w:rFonts w:ascii="Verdana" w:hAnsi="Verdana"/>
          <w:b/>
          <w:sz w:val="20"/>
          <w:szCs w:val="20"/>
        </w:rPr>
        <w:t xml:space="preserve"> (EuGH)</w:t>
      </w:r>
      <w:r>
        <w:rPr>
          <w:rFonts w:ascii="Verdana" w:hAnsi="Verdana"/>
          <w:sz w:val="20"/>
          <w:szCs w:val="20"/>
        </w:rPr>
        <w:t>: Verbot…</w:t>
      </w:r>
      <w:r>
        <w:rPr>
          <w:rFonts w:ascii="Verdana" w:hAnsi="Verdana"/>
          <w:sz w:val="20"/>
          <w:szCs w:val="20"/>
        </w:rPr>
        <w:br/>
      </w:r>
      <w:r w:rsidRPr="009B6C34">
        <w:rPr>
          <w:rFonts w:ascii="Verdana" w:hAnsi="Verdana"/>
          <w:b/>
          <w:sz w:val="20"/>
          <w:szCs w:val="20"/>
        </w:rPr>
        <w:t>unmittelbarer Diskriminierung</w:t>
      </w:r>
      <w:r>
        <w:rPr>
          <w:rFonts w:ascii="Verdana" w:hAnsi="Verdana"/>
          <w:sz w:val="20"/>
          <w:szCs w:val="20"/>
        </w:rPr>
        <w:t>: Ungleichbehandlung 2 Personen in identischer Lage</w:t>
      </w:r>
      <w:r>
        <w:rPr>
          <w:rFonts w:ascii="Verdana" w:hAnsi="Verdana"/>
          <w:sz w:val="20"/>
          <w:szCs w:val="20"/>
        </w:rPr>
        <w:br/>
      </w:r>
      <w:r w:rsidRPr="007F3475">
        <w:rPr>
          <w:rFonts w:ascii="Verdana" w:hAnsi="Verdana"/>
          <w:b/>
          <w:sz w:val="20"/>
          <w:szCs w:val="20"/>
        </w:rPr>
        <w:t>mittelbarer Diskriminierung</w:t>
      </w:r>
      <w:r>
        <w:rPr>
          <w:rFonts w:ascii="Verdana" w:hAnsi="Verdana"/>
          <w:sz w:val="20"/>
          <w:szCs w:val="20"/>
        </w:rPr>
        <w:t>:</w:t>
      </w:r>
      <w:r w:rsidR="007F3475">
        <w:rPr>
          <w:rFonts w:ascii="Verdana" w:hAnsi="Verdana"/>
          <w:sz w:val="20"/>
          <w:szCs w:val="20"/>
        </w:rPr>
        <w:t xml:space="preserve"> Entgeltungleichheit </w:t>
      </w:r>
      <w:r w:rsidR="007F3475" w:rsidRPr="007F3475">
        <w:rPr>
          <w:rFonts w:ascii="Verdana" w:hAnsi="Verdana"/>
          <w:sz w:val="20"/>
          <w:szCs w:val="20"/>
        </w:rPr>
        <w:t>als Ergebnis eines scheinbar neutralen Kriteriums, das gleichwohl au</w:t>
      </w:r>
      <w:r w:rsidR="007F3475" w:rsidRPr="007F3475">
        <w:rPr>
          <w:rFonts w:ascii="Verdana" w:hAnsi="Verdana"/>
          <w:sz w:val="20"/>
          <w:szCs w:val="20"/>
        </w:rPr>
        <w:t>f</w:t>
      </w:r>
      <w:r w:rsidR="007F3475" w:rsidRPr="007F3475">
        <w:rPr>
          <w:rFonts w:ascii="Verdana" w:hAnsi="Verdana"/>
          <w:sz w:val="20"/>
          <w:szCs w:val="20"/>
        </w:rPr>
        <w:t>grund der faktischen Sachlage, auf die es angewendet wird, eine Gruppe benachteiligt, die sich ganz oder überwiegend aus Angehörigen e</w:t>
      </w:r>
      <w:r w:rsidR="007F3475">
        <w:rPr>
          <w:rFonts w:ascii="Verdana" w:hAnsi="Verdana"/>
          <w:sz w:val="20"/>
          <w:szCs w:val="20"/>
        </w:rPr>
        <w:t>ines Geschlechtes zusammensetzt (relativ viele w. Teilzeitbeschäftigte).</w:t>
      </w:r>
    </w:p>
    <w:p w:rsidR="00905D62" w:rsidRDefault="00905D62" w:rsidP="00905D62">
      <w:pPr>
        <w:rPr>
          <w:rFonts w:ascii="Verdana" w:hAnsi="Verdana"/>
          <w:sz w:val="20"/>
          <w:szCs w:val="20"/>
        </w:rPr>
      </w:pPr>
      <w:r w:rsidRPr="00905D62">
        <w:rPr>
          <w:rFonts w:ascii="Verdana" w:hAnsi="Verdana"/>
          <w:b/>
          <w:sz w:val="20"/>
          <w:szCs w:val="20"/>
        </w:rPr>
        <w:t>Fallstudie</w:t>
      </w:r>
      <w:r>
        <w:rPr>
          <w:rFonts w:ascii="Verdana" w:hAnsi="Verdana"/>
          <w:sz w:val="20"/>
          <w:szCs w:val="20"/>
        </w:rPr>
        <w:t xml:space="preserve">: mittelbare Diskriminierung von </w:t>
      </w:r>
      <w:proofErr w:type="spellStart"/>
      <w:r>
        <w:rPr>
          <w:rFonts w:ascii="Verdana" w:hAnsi="Verdana"/>
          <w:sz w:val="20"/>
          <w:szCs w:val="20"/>
        </w:rPr>
        <w:t>Kalanke</w:t>
      </w:r>
      <w:proofErr w:type="spellEnd"/>
      <w:r>
        <w:rPr>
          <w:rFonts w:ascii="Verdana" w:hAnsi="Verdana"/>
          <w:sz w:val="20"/>
          <w:szCs w:val="20"/>
        </w:rPr>
        <w:t xml:space="preserve"> (Mann), der trotz gleicher Qualifikation gegenüber einer Frau nicht den Job bekommen hat. </w:t>
      </w:r>
      <w:r w:rsidRPr="00905D62">
        <w:rPr>
          <w:rFonts w:ascii="Verdana" w:hAnsi="Verdana"/>
          <w:sz w:val="20"/>
          <w:szCs w:val="20"/>
        </w:rPr>
        <w:t xml:space="preserve">Bei den Instanzen der deutschen Arbeitsgerichtsbarkeit konnte sich </w:t>
      </w:r>
      <w:proofErr w:type="spellStart"/>
      <w:r w:rsidRPr="00905D62">
        <w:rPr>
          <w:rFonts w:ascii="Verdana" w:hAnsi="Verdana"/>
          <w:sz w:val="20"/>
          <w:szCs w:val="20"/>
        </w:rPr>
        <w:t>Kalanke</w:t>
      </w:r>
      <w:proofErr w:type="spellEnd"/>
      <w:r w:rsidRPr="00905D62">
        <w:rPr>
          <w:rFonts w:ascii="Verdana" w:hAnsi="Verdana"/>
          <w:sz w:val="20"/>
          <w:szCs w:val="20"/>
        </w:rPr>
        <w:t xml:space="preserve"> wegen des geltenden deutschen Rechts zunächst nicht durchsetzen. Der EuGH sah wegen der automatischen Bevorzugung der Frauen einen Verstoß gegen die europä</w:t>
      </w:r>
      <w:r w:rsidRPr="00905D62">
        <w:rPr>
          <w:rFonts w:ascii="Verdana" w:hAnsi="Verdana"/>
          <w:sz w:val="20"/>
          <w:szCs w:val="20"/>
        </w:rPr>
        <w:t>i</w:t>
      </w:r>
      <w:r w:rsidRPr="00905D62">
        <w:rPr>
          <w:rFonts w:ascii="Verdana" w:hAnsi="Verdana"/>
          <w:sz w:val="20"/>
          <w:szCs w:val="20"/>
        </w:rPr>
        <w:t>sche Richtlinie zur Gleichbehandlung beider Faktoren.</w:t>
      </w:r>
    </w:p>
    <w:p w:rsidR="002E695F" w:rsidRDefault="002E695F" w:rsidP="00905D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</w:p>
    <w:p w:rsidR="002E695F" w:rsidRDefault="002E695F" w:rsidP="00905D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 Quoten, aktuelle Studien, Forderungen, Empirie</w:t>
      </w:r>
    </w:p>
    <w:p w:rsidR="002E695F" w:rsidRDefault="002E695F" w:rsidP="00905D62">
      <w:pPr>
        <w:rPr>
          <w:rFonts w:ascii="Verdana" w:hAnsi="Verdana"/>
          <w:sz w:val="20"/>
          <w:szCs w:val="20"/>
        </w:rPr>
      </w:pPr>
      <w:r w:rsidRPr="002E695F">
        <w:rPr>
          <w:rFonts w:ascii="Verdana" w:hAnsi="Verdana"/>
          <w:b/>
          <w:sz w:val="20"/>
          <w:szCs w:val="20"/>
        </w:rPr>
        <w:t>BGA-Leitsatz</w:t>
      </w:r>
      <w:r>
        <w:rPr>
          <w:rFonts w:ascii="Verdana" w:hAnsi="Verdana"/>
          <w:sz w:val="20"/>
          <w:szCs w:val="20"/>
        </w:rPr>
        <w:t>: Lohngleichheit bei gleicher Tätigkeit zwischen Mann und Frau.</w:t>
      </w:r>
    </w:p>
    <w:p w:rsidR="002E695F" w:rsidRDefault="002E695F" w:rsidP="00905D62">
      <w:pPr>
        <w:rPr>
          <w:rFonts w:ascii="Verdana" w:hAnsi="Verdana"/>
          <w:sz w:val="20"/>
          <w:szCs w:val="20"/>
        </w:rPr>
      </w:pPr>
      <w:r w:rsidRPr="002E695F">
        <w:rPr>
          <w:rFonts w:ascii="Verdana" w:hAnsi="Verdana"/>
          <w:b/>
          <w:sz w:val="20"/>
          <w:szCs w:val="20"/>
        </w:rPr>
        <w:t>Kommission-Initiative</w:t>
      </w:r>
      <w:r>
        <w:rPr>
          <w:rFonts w:ascii="Verdana" w:hAnsi="Verdana"/>
          <w:sz w:val="20"/>
          <w:szCs w:val="20"/>
        </w:rPr>
        <w:t>: Zielvorgabe mindestens 40% Frauenanteil in den Aufsichtsräten der größten privaten EU-Unternehmen bis 2020.</w:t>
      </w:r>
    </w:p>
    <w:p w:rsidR="0034488B" w:rsidRDefault="0034488B" w:rsidP="0034488B">
      <w:pPr>
        <w:pStyle w:val="KeinLeerraum"/>
        <w:rPr>
          <w:rFonts w:ascii="Verdana" w:hAnsi="Verdana"/>
          <w:sz w:val="20"/>
          <w:szCs w:val="20"/>
        </w:rPr>
      </w:pPr>
      <w:r w:rsidRPr="0034488B">
        <w:rPr>
          <w:rFonts w:ascii="Verdana" w:hAnsi="Verdana"/>
          <w:b/>
          <w:sz w:val="20"/>
          <w:szCs w:val="20"/>
        </w:rPr>
        <w:t>Frage</w:t>
      </w:r>
      <w:r w:rsidRPr="0034488B">
        <w:rPr>
          <w:rFonts w:ascii="Verdana" w:hAnsi="Verdana"/>
          <w:sz w:val="20"/>
          <w:szCs w:val="20"/>
        </w:rPr>
        <w:t xml:space="preserve">: </w:t>
      </w:r>
      <w:r w:rsidRPr="0034488B">
        <w:rPr>
          <w:rFonts w:ascii="Verdana" w:hAnsi="Verdana"/>
          <w:sz w:val="20"/>
          <w:szCs w:val="20"/>
        </w:rPr>
        <w:t>Kann die EU tatsächlich nur aufgrund ihrer allgemeinen Diskriminierungsverbote als unabdingbare Erfordernisse zur Vollendung des europäischen Binnenmarkts zur materiellen Emanzip</w:t>
      </w:r>
      <w:r w:rsidRPr="0034488B">
        <w:rPr>
          <w:rFonts w:ascii="Verdana" w:hAnsi="Verdana"/>
          <w:sz w:val="20"/>
          <w:szCs w:val="20"/>
        </w:rPr>
        <w:t>a</w:t>
      </w:r>
      <w:r w:rsidRPr="0034488B">
        <w:rPr>
          <w:rFonts w:ascii="Verdana" w:hAnsi="Verdana"/>
          <w:sz w:val="20"/>
          <w:szCs w:val="20"/>
        </w:rPr>
        <w:t>tion der Frau fungieren?</w:t>
      </w:r>
    </w:p>
    <w:p w:rsidR="0034488B" w:rsidRDefault="0034488B" w:rsidP="0034488B">
      <w:pPr>
        <w:pStyle w:val="KeinLeerraum"/>
        <w:rPr>
          <w:rFonts w:ascii="Verdana" w:hAnsi="Verdana" w:cs="Times New Roman"/>
          <w:sz w:val="20"/>
          <w:szCs w:val="20"/>
        </w:rPr>
      </w:pPr>
      <w:r w:rsidRPr="0034488B">
        <w:rPr>
          <w:rFonts w:ascii="Verdana" w:hAnsi="Verdana"/>
          <w:b/>
          <w:sz w:val="20"/>
          <w:szCs w:val="20"/>
        </w:rPr>
        <w:t>Antwort</w:t>
      </w:r>
      <w:r>
        <w:rPr>
          <w:rFonts w:ascii="Verdana" w:hAnsi="Verdana"/>
          <w:sz w:val="20"/>
          <w:szCs w:val="20"/>
        </w:rPr>
        <w:t>: Trotz positiver Änderungen gelingt es Frauen nur in Ausnahmefällen, in die Top-Führungsebenen großer Unternehmen vorzustoßen.</w:t>
      </w:r>
      <w:r>
        <w:rPr>
          <w:rFonts w:ascii="Verdana" w:hAnsi="Verdana"/>
          <w:sz w:val="20"/>
          <w:szCs w:val="20"/>
        </w:rPr>
        <w:br/>
      </w:r>
      <w:r w:rsidRPr="0034488B">
        <w:rPr>
          <w:rFonts w:ascii="Verdana" w:hAnsi="Verdana" w:cs="Times New Roman"/>
          <w:b/>
          <w:sz w:val="20"/>
          <w:szCs w:val="20"/>
        </w:rPr>
        <w:t>Gründe</w:t>
      </w:r>
      <w:r>
        <w:rPr>
          <w:rFonts w:ascii="Verdana" w:hAnsi="Verdana" w:cs="Times New Roman"/>
          <w:sz w:val="20"/>
          <w:szCs w:val="20"/>
        </w:rPr>
        <w:t xml:space="preserve">: traditionelle Rollenmuster, Frau wird als potentielle Mutter betrachtet Erwartung an Erwerbsunterbrechung führt zur geringeren Humaninvestitionen in Frauen und strukturelle Barrieren, Arbeitsplätze im </w:t>
      </w:r>
      <w:proofErr w:type="spellStart"/>
      <w:r>
        <w:rPr>
          <w:rFonts w:ascii="Verdana" w:hAnsi="Verdana" w:cs="Times New Roman"/>
          <w:sz w:val="20"/>
          <w:szCs w:val="20"/>
        </w:rPr>
        <w:t>Spitzenmanagment</w:t>
      </w:r>
      <w:proofErr w:type="spellEnd"/>
      <w:r>
        <w:rPr>
          <w:rFonts w:ascii="Verdana" w:hAnsi="Verdana" w:cs="Times New Roman"/>
          <w:sz w:val="20"/>
          <w:szCs w:val="20"/>
        </w:rPr>
        <w:t xml:space="preserve"> sind auf männliche Manager ohne Versorgungsleistungen im privaten Raum zugeschnitten. </w:t>
      </w:r>
      <w:r w:rsidRPr="0034488B">
        <w:rPr>
          <w:rFonts w:ascii="Verdana" w:hAnsi="Verdana" w:cs="Times New Roman"/>
          <w:sz w:val="20"/>
          <w:szCs w:val="20"/>
        </w:rPr>
        <w:t>Der Kompatibilität von Karriere und famili</w:t>
      </w:r>
      <w:r w:rsidRPr="0034488B">
        <w:rPr>
          <w:rFonts w:ascii="Verdana" w:hAnsi="Verdana" w:cs="Times New Roman"/>
          <w:sz w:val="20"/>
          <w:szCs w:val="20"/>
        </w:rPr>
        <w:t>ä</w:t>
      </w:r>
      <w:r w:rsidRPr="0034488B">
        <w:rPr>
          <w:rFonts w:ascii="Verdana" w:hAnsi="Verdana" w:cs="Times New Roman"/>
          <w:sz w:val="20"/>
          <w:szCs w:val="20"/>
        </w:rPr>
        <w:t>ren Verpflichtungen</w:t>
      </w:r>
      <w:r>
        <w:rPr>
          <w:rFonts w:ascii="Verdana" w:hAnsi="Verdana" w:cs="Times New Roman"/>
          <w:sz w:val="20"/>
          <w:szCs w:val="20"/>
        </w:rPr>
        <w:t xml:space="preserve"> (</w:t>
      </w:r>
      <w:r w:rsidRPr="0034488B">
        <w:rPr>
          <w:rFonts w:ascii="Verdana" w:hAnsi="Verdana" w:cs="Times New Roman"/>
          <w:b/>
          <w:sz w:val="20"/>
          <w:szCs w:val="20"/>
        </w:rPr>
        <w:t>Frau als potentielle Mutter</w:t>
      </w:r>
      <w:r>
        <w:rPr>
          <w:rFonts w:ascii="Verdana" w:hAnsi="Verdana" w:cs="Times New Roman"/>
          <w:sz w:val="20"/>
          <w:szCs w:val="20"/>
        </w:rPr>
        <w:t>)</w:t>
      </w:r>
      <w:r w:rsidRPr="0034488B">
        <w:rPr>
          <w:rFonts w:ascii="Verdana" w:hAnsi="Verdana" w:cs="Times New Roman"/>
          <w:sz w:val="20"/>
          <w:szCs w:val="20"/>
        </w:rPr>
        <w:t xml:space="preserve"> sind oft „strukturelle Barrieren für aufstiegswillige Frauen“ gesetzt.</w:t>
      </w:r>
      <w:r w:rsidR="001D3F72">
        <w:rPr>
          <w:rFonts w:ascii="Verdana" w:hAnsi="Verdana" w:cs="Times New Roman"/>
          <w:sz w:val="20"/>
          <w:szCs w:val="20"/>
        </w:rPr>
        <w:t xml:space="preserve"> (sozial </w:t>
      </w:r>
      <w:proofErr w:type="spellStart"/>
      <w:r w:rsidR="001D3F72">
        <w:rPr>
          <w:rFonts w:ascii="Verdana" w:hAnsi="Verdana" w:cs="Times New Roman"/>
          <w:sz w:val="20"/>
          <w:szCs w:val="20"/>
        </w:rPr>
        <w:t>freezing</w:t>
      </w:r>
      <w:proofErr w:type="spellEnd"/>
      <w:r w:rsidR="001D3F72">
        <w:rPr>
          <w:rFonts w:ascii="Verdana" w:hAnsi="Verdana" w:cs="Times New Roman"/>
          <w:sz w:val="20"/>
          <w:szCs w:val="20"/>
        </w:rPr>
        <w:t>?)</w:t>
      </w:r>
      <w:r w:rsidR="001D3F72">
        <w:rPr>
          <w:rFonts w:ascii="Verdana" w:hAnsi="Verdana" w:cs="Times New Roman"/>
          <w:sz w:val="20"/>
          <w:szCs w:val="20"/>
        </w:rPr>
        <w:br/>
      </w:r>
      <w:r w:rsidRPr="0034488B">
        <w:rPr>
          <w:rFonts w:ascii="Verdana" w:hAnsi="Verdana" w:cs="Times New Roman"/>
          <w:sz w:val="20"/>
          <w:szCs w:val="20"/>
        </w:rPr>
        <w:t>Arbeitsplätze im Spitzenmanagement sind auf den män</w:t>
      </w:r>
      <w:r>
        <w:rPr>
          <w:rFonts w:ascii="Verdana" w:hAnsi="Verdana" w:cs="Times New Roman"/>
          <w:sz w:val="20"/>
          <w:szCs w:val="20"/>
        </w:rPr>
        <w:t xml:space="preserve">nlichen Manager zugeschnitten, </w:t>
      </w:r>
      <w:r w:rsidRPr="0034488B">
        <w:rPr>
          <w:rFonts w:ascii="Verdana" w:hAnsi="Verdana" w:cs="Times New Roman"/>
          <w:sz w:val="20"/>
          <w:szCs w:val="20"/>
        </w:rPr>
        <w:t>der selbst keine Verso</w:t>
      </w:r>
      <w:r w:rsidRPr="0034488B">
        <w:rPr>
          <w:rFonts w:ascii="Verdana" w:hAnsi="Verdana" w:cs="Times New Roman"/>
          <w:sz w:val="20"/>
          <w:szCs w:val="20"/>
        </w:rPr>
        <w:t>r</w:t>
      </w:r>
      <w:r w:rsidRPr="0034488B">
        <w:rPr>
          <w:rFonts w:ascii="Verdana" w:hAnsi="Verdana" w:cs="Times New Roman"/>
          <w:sz w:val="20"/>
          <w:szCs w:val="20"/>
        </w:rPr>
        <w:t>gungsleistung im pr</w:t>
      </w:r>
      <w:r w:rsidRPr="0034488B">
        <w:rPr>
          <w:rFonts w:ascii="Verdana" w:hAnsi="Verdana" w:cs="Times New Roman"/>
          <w:sz w:val="20"/>
          <w:szCs w:val="20"/>
        </w:rPr>
        <w:t>i</w:t>
      </w:r>
      <w:r w:rsidRPr="0034488B">
        <w:rPr>
          <w:rFonts w:ascii="Verdana" w:hAnsi="Verdana" w:cs="Times New Roman"/>
          <w:sz w:val="20"/>
          <w:szCs w:val="20"/>
        </w:rPr>
        <w:t>vaten Raum zu erbringen hat, gleichwohl</w:t>
      </w:r>
      <w:r>
        <w:rPr>
          <w:rFonts w:ascii="Verdana" w:hAnsi="Verdana" w:cs="Times New Roman"/>
          <w:sz w:val="20"/>
          <w:szCs w:val="20"/>
        </w:rPr>
        <w:t xml:space="preserve"> aber zuverlässig versorgt wird.</w:t>
      </w:r>
    </w:p>
    <w:p w:rsidR="00622A68" w:rsidRDefault="0034488B" w:rsidP="0034488B">
      <w:pPr>
        <w:pStyle w:val="KeinLeerraum"/>
        <w:rPr>
          <w:rFonts w:ascii="Verdana" w:hAnsi="Verdana" w:cs="Times New Roman"/>
          <w:sz w:val="20"/>
          <w:szCs w:val="20"/>
        </w:rPr>
      </w:pPr>
      <w:r w:rsidRPr="0034488B">
        <w:rPr>
          <w:rFonts w:ascii="Verdana" w:hAnsi="Verdana" w:cs="Times New Roman"/>
          <w:sz w:val="20"/>
          <w:szCs w:val="20"/>
        </w:rPr>
        <w:sym w:font="Wingdings" w:char="F0E0"/>
      </w:r>
      <w:r w:rsidRPr="0034488B">
        <w:rPr>
          <w:rFonts w:ascii="Verdana" w:hAnsi="Verdana" w:cs="Times New Roman"/>
          <w:b/>
          <w:sz w:val="20"/>
          <w:szCs w:val="20"/>
        </w:rPr>
        <w:t>Frauen werden nicht primär wegen ihres Geschlechts, sondern aus allokativen Gründen benachteiligt</w:t>
      </w:r>
      <w:r>
        <w:rPr>
          <w:rFonts w:ascii="Verdana" w:hAnsi="Verdana" w:cs="Times New Roman"/>
          <w:sz w:val="20"/>
          <w:szCs w:val="20"/>
        </w:rPr>
        <w:t>.</w:t>
      </w:r>
    </w:p>
    <w:p w:rsidR="001D3F72" w:rsidRDefault="001D3F72" w:rsidP="0034488B">
      <w:pPr>
        <w:pStyle w:val="KeinLeerraum"/>
        <w:rPr>
          <w:rFonts w:ascii="Verdana" w:hAnsi="Verdana" w:cs="Times New Roman"/>
          <w:sz w:val="20"/>
          <w:szCs w:val="20"/>
        </w:rPr>
      </w:pPr>
    </w:p>
    <w:p w:rsidR="001D3F72" w:rsidRDefault="001D3F72" w:rsidP="0034488B">
      <w:pPr>
        <w:pStyle w:val="KeinLeerraum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8. </w:t>
      </w:r>
      <w:r w:rsidRPr="001D3F72">
        <w:rPr>
          <w:rFonts w:ascii="Verdana" w:hAnsi="Verdana" w:cs="Times New Roman"/>
          <w:b/>
          <w:sz w:val="20"/>
          <w:szCs w:val="20"/>
          <w:u w:val="single"/>
        </w:rPr>
        <w:t xml:space="preserve">Wenig nährreiche Informationen zum </w:t>
      </w:r>
      <w:proofErr w:type="spellStart"/>
      <w:r>
        <w:rPr>
          <w:rFonts w:ascii="Verdana" w:hAnsi="Verdana" w:cs="Times New Roman"/>
          <w:b/>
          <w:sz w:val="20"/>
          <w:szCs w:val="20"/>
          <w:u w:val="single"/>
        </w:rPr>
        <w:t>arbeitsök</w:t>
      </w:r>
      <w:proofErr w:type="spellEnd"/>
      <w:r>
        <w:rPr>
          <w:rFonts w:ascii="Verdana" w:hAnsi="Verdana" w:cs="Times New Roman"/>
          <w:b/>
          <w:sz w:val="20"/>
          <w:szCs w:val="20"/>
          <w:u w:val="single"/>
        </w:rPr>
        <w:t xml:space="preserve">. </w:t>
      </w:r>
      <w:r w:rsidRPr="001D3F72">
        <w:rPr>
          <w:rFonts w:ascii="Verdana" w:hAnsi="Verdana" w:cs="Times New Roman"/>
          <w:b/>
          <w:sz w:val="20"/>
          <w:szCs w:val="20"/>
          <w:u w:val="single"/>
        </w:rPr>
        <w:t>Effizienzparadigma</w:t>
      </w:r>
    </w:p>
    <w:p w:rsidR="001D3F72" w:rsidRDefault="001D3F72" w:rsidP="0034488B">
      <w:pPr>
        <w:pStyle w:val="KeinLeerraum"/>
        <w:rPr>
          <w:rFonts w:ascii="Verdana" w:hAnsi="Verdana" w:cs="Times New Roman"/>
          <w:sz w:val="20"/>
          <w:szCs w:val="20"/>
        </w:rPr>
      </w:pPr>
    </w:p>
    <w:p w:rsidR="009B6C34" w:rsidRDefault="001D3F72" w:rsidP="007A7CA9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Die herrschaftliche Kontrolle auf das weibliche Geschlecht lässt sich bis auf die </w:t>
      </w:r>
      <w:r w:rsidRPr="001D3F72">
        <w:rPr>
          <w:rFonts w:ascii="Verdana" w:hAnsi="Verdana" w:cs="Times New Roman"/>
          <w:b/>
          <w:sz w:val="20"/>
          <w:szCs w:val="20"/>
        </w:rPr>
        <w:t>Schöpfungsgeschichte</w:t>
      </w:r>
      <w:r>
        <w:rPr>
          <w:rFonts w:ascii="Verdana" w:hAnsi="Verdana" w:cs="Times New Roman"/>
          <w:sz w:val="20"/>
          <w:szCs w:val="20"/>
        </w:rPr>
        <w:t xml:space="preserve"> zurückverfolgen: Eva anstatt aus der banalen Rippe von Adam.</w:t>
      </w:r>
      <w:r>
        <w:rPr>
          <w:rFonts w:ascii="Verdana" w:hAnsi="Verdana" w:cs="Times New Roman"/>
          <w:sz w:val="20"/>
          <w:szCs w:val="20"/>
        </w:rPr>
        <w:br/>
      </w:r>
      <w:r w:rsidRPr="001D3F72">
        <w:rPr>
          <w:rFonts w:ascii="Verdana" w:hAnsi="Verdana" w:cs="Times New Roman"/>
          <w:b/>
          <w:sz w:val="20"/>
          <w:szCs w:val="20"/>
        </w:rPr>
        <w:t>Nietzsche</w:t>
      </w:r>
      <w:r>
        <w:rPr>
          <w:rFonts w:ascii="Verdana" w:hAnsi="Verdana" w:cs="Times New Roman"/>
          <w:sz w:val="20"/>
          <w:szCs w:val="20"/>
        </w:rPr>
        <w:t xml:space="preserve">: </w:t>
      </w:r>
      <w:r w:rsidRPr="001D3F72">
        <w:rPr>
          <w:rFonts w:ascii="Verdana" w:hAnsi="Verdana" w:cs="Times New Roman"/>
          <w:sz w:val="20"/>
          <w:szCs w:val="20"/>
        </w:rPr>
        <w:t>"</w:t>
      </w:r>
      <w:r>
        <w:rPr>
          <w:rFonts w:ascii="Verdana" w:hAnsi="Verdana" w:cs="Times New Roman"/>
          <w:sz w:val="20"/>
          <w:szCs w:val="20"/>
        </w:rPr>
        <w:t>Du gehst zur Frau? Vergiss die Peitsche nicht!</w:t>
      </w:r>
      <w:r w:rsidRPr="001D3F72">
        <w:rPr>
          <w:rFonts w:ascii="Verdana" w:hAnsi="Verdana" w:cs="Times New Roman"/>
          <w:sz w:val="20"/>
          <w:szCs w:val="20"/>
        </w:rPr>
        <w:t>"</w:t>
      </w:r>
      <w:r w:rsidR="007A7CA9">
        <w:rPr>
          <w:rFonts w:ascii="Verdana" w:hAnsi="Verdana" w:cs="Times New Roman"/>
          <w:sz w:val="20"/>
          <w:szCs w:val="20"/>
        </w:rPr>
        <w:br/>
      </w:r>
      <w:r w:rsidR="007A7CA9">
        <w:rPr>
          <w:rFonts w:ascii="Verdana" w:hAnsi="Verdana" w:cs="Times New Roman"/>
          <w:sz w:val="20"/>
          <w:szCs w:val="20"/>
        </w:rPr>
        <w:br/>
        <w:t>Diktion der Stellenausschreibung entscheidet, wie viele männliche und weibliche Personen sich bewerben. Etliche Studien zeigen, dass physische Attraktivität von Personen auf dem Arbeitsmarkt von Nachteil ist.</w:t>
      </w:r>
    </w:p>
    <w:p w:rsidR="00D15FE9" w:rsidRDefault="00D15FE9" w:rsidP="00FA1B19">
      <w:bookmarkStart w:id="0" w:name="_GoBack"/>
      <w:bookmarkEnd w:id="0"/>
    </w:p>
    <w:sectPr w:rsidR="00D15F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19"/>
    <w:rsid w:val="000E09F1"/>
    <w:rsid w:val="001D3F72"/>
    <w:rsid w:val="002E695F"/>
    <w:rsid w:val="0034488B"/>
    <w:rsid w:val="003E0396"/>
    <w:rsid w:val="00471273"/>
    <w:rsid w:val="00523CD8"/>
    <w:rsid w:val="005455A5"/>
    <w:rsid w:val="005F73F4"/>
    <w:rsid w:val="00622A68"/>
    <w:rsid w:val="007A7CA9"/>
    <w:rsid w:val="007F3475"/>
    <w:rsid w:val="00905D62"/>
    <w:rsid w:val="009B2382"/>
    <w:rsid w:val="009B6C34"/>
    <w:rsid w:val="00A16EAA"/>
    <w:rsid w:val="00AB390B"/>
    <w:rsid w:val="00BC1CE8"/>
    <w:rsid w:val="00C17D30"/>
    <w:rsid w:val="00D15FE9"/>
    <w:rsid w:val="00FA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24811-0DE0-49E8-B426-11534ED8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1B1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A1B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KeinLeerraum">
    <w:name w:val="No Spacing"/>
    <w:uiPriority w:val="1"/>
    <w:qFormat/>
    <w:rsid w:val="00A16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Heinle</dc:creator>
  <cp:keywords/>
  <dc:description/>
  <cp:lastModifiedBy>Johannes Heinle</cp:lastModifiedBy>
  <cp:revision>7</cp:revision>
  <dcterms:created xsi:type="dcterms:W3CDTF">2018-07-15T23:27:00Z</dcterms:created>
  <dcterms:modified xsi:type="dcterms:W3CDTF">2018-07-16T22:14:00Z</dcterms:modified>
</cp:coreProperties>
</file>