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2B" w:rsidRDefault="0067272B" w:rsidP="0067272B">
      <w:pPr>
        <w:pStyle w:val="berschrift1"/>
      </w:pPr>
      <w:r>
        <w:t>8. EuGH</w:t>
      </w:r>
    </w:p>
    <w:p w:rsidR="00A73D21" w:rsidRDefault="0067272B" w:rsidP="0067272B">
      <w:pPr>
        <w:pStyle w:val="KeinLeerraum"/>
        <w:rPr>
          <w:rFonts w:ascii="Verdana" w:hAnsi="Verdana"/>
          <w:sz w:val="20"/>
          <w:szCs w:val="20"/>
        </w:rPr>
      </w:pPr>
      <w:r>
        <w:br/>
      </w:r>
      <w:r w:rsidRPr="0067272B">
        <w:rPr>
          <w:rFonts w:ascii="Verdana" w:hAnsi="Verdana"/>
          <w:sz w:val="20"/>
          <w:szCs w:val="20"/>
        </w:rPr>
        <w:t xml:space="preserve">1. </w:t>
      </w:r>
      <w:r w:rsidRPr="0067272B">
        <w:rPr>
          <w:rFonts w:ascii="Verdana" w:hAnsi="Verdana"/>
          <w:b/>
          <w:sz w:val="20"/>
          <w:szCs w:val="20"/>
          <w:u w:val="single"/>
        </w:rPr>
        <w:t>Recht folgt Ökonomie</w:t>
      </w:r>
      <w:r w:rsidRPr="0067272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6F13B0">
        <w:rPr>
          <w:rFonts w:ascii="Verdana" w:hAnsi="Verdana"/>
          <w:sz w:val="20"/>
          <w:szCs w:val="20"/>
        </w:rPr>
        <w:t xml:space="preserve">Erster Schritt: Begründung der </w:t>
      </w:r>
      <w:r w:rsidRPr="006F13B0">
        <w:rPr>
          <w:rFonts w:ascii="Verdana" w:hAnsi="Verdana"/>
          <w:b/>
          <w:sz w:val="20"/>
          <w:szCs w:val="20"/>
        </w:rPr>
        <w:t>Europäische</w:t>
      </w:r>
      <w:r w:rsidR="006F13B0" w:rsidRPr="006F13B0">
        <w:rPr>
          <w:rFonts w:ascii="Verdana" w:hAnsi="Verdana"/>
          <w:b/>
          <w:sz w:val="20"/>
          <w:szCs w:val="20"/>
        </w:rPr>
        <w:t>n</w:t>
      </w:r>
      <w:r w:rsidRPr="006F13B0">
        <w:rPr>
          <w:rFonts w:ascii="Verdana" w:hAnsi="Verdana"/>
          <w:b/>
          <w:sz w:val="20"/>
          <w:szCs w:val="20"/>
        </w:rPr>
        <w:t xml:space="preserve"> Wirtschaftsgemeinschaft</w:t>
      </w:r>
      <w:r>
        <w:rPr>
          <w:rFonts w:ascii="Verdana" w:hAnsi="Verdana"/>
          <w:sz w:val="20"/>
          <w:szCs w:val="20"/>
        </w:rPr>
        <w:t xml:space="preserve"> (EWG)</w:t>
      </w:r>
      <w:r w:rsidR="006F13B0" w:rsidRPr="006F13B0">
        <w:rPr>
          <w:rFonts w:ascii="Verdana" w:hAnsi="Verdana"/>
          <w:sz w:val="20"/>
          <w:szCs w:val="20"/>
        </w:rPr>
        <w:t xml:space="preserve"> zur Etablierung eines effizie</w:t>
      </w:r>
      <w:r w:rsidR="006F13B0" w:rsidRPr="006F13B0">
        <w:rPr>
          <w:rFonts w:ascii="Verdana" w:hAnsi="Verdana"/>
          <w:sz w:val="20"/>
          <w:szCs w:val="20"/>
        </w:rPr>
        <w:t>n</w:t>
      </w:r>
      <w:r w:rsidR="006F13B0" w:rsidRPr="006F13B0">
        <w:rPr>
          <w:rFonts w:ascii="Verdana" w:hAnsi="Verdana"/>
          <w:sz w:val="20"/>
          <w:szCs w:val="20"/>
        </w:rPr>
        <w:t>ten Binnenmarktes zur Maximierung wohlfahrtsstaatlicher Effekte primär mittels marktkonformer Mitte</w:t>
      </w:r>
      <w:r w:rsidR="006F13B0" w:rsidRPr="006F13B0">
        <w:rPr>
          <w:rFonts w:ascii="Verdana" w:hAnsi="Verdana"/>
          <w:sz w:val="20"/>
          <w:szCs w:val="20"/>
        </w:rPr>
        <w:t>l</w:t>
      </w:r>
      <w:r w:rsidR="006F13B0" w:rsidRPr="006F13B0">
        <w:rPr>
          <w:rFonts w:ascii="Verdana" w:hAnsi="Verdana"/>
          <w:sz w:val="20"/>
          <w:szCs w:val="20"/>
        </w:rPr>
        <w:t>.</w:t>
      </w:r>
    </w:p>
    <w:p w:rsidR="006F13B0" w:rsidRDefault="006F13B0" w:rsidP="0067272B">
      <w:pPr>
        <w:pStyle w:val="KeinLeerraum"/>
        <w:rPr>
          <w:rFonts w:ascii="Verdana" w:hAnsi="Verdana"/>
          <w:sz w:val="20"/>
          <w:szCs w:val="20"/>
        </w:rPr>
      </w:pPr>
    </w:p>
    <w:p w:rsidR="006F13B0" w:rsidRDefault="006F13B0" w:rsidP="0067272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Zweiter Schritt: Der </w:t>
      </w:r>
      <w:r w:rsidRPr="006F13B0">
        <w:rPr>
          <w:rFonts w:ascii="Verdana" w:hAnsi="Verdana"/>
          <w:b/>
          <w:sz w:val="20"/>
          <w:szCs w:val="20"/>
        </w:rPr>
        <w:t>Europäische Gerichtshof</w:t>
      </w:r>
      <w:r w:rsidRPr="006F13B0">
        <w:rPr>
          <w:rFonts w:ascii="Verdana" w:hAnsi="Verdana"/>
          <w:sz w:val="20"/>
          <w:szCs w:val="20"/>
        </w:rPr>
        <w:t xml:space="preserve"> (EuGH)</w:t>
      </w:r>
      <w:r>
        <w:rPr>
          <w:rFonts w:ascii="Verdana" w:hAnsi="Verdana"/>
          <w:sz w:val="20"/>
          <w:szCs w:val="20"/>
        </w:rPr>
        <w:t xml:space="preserve"> definiert als ordnungspolitischer Akteur zugleich Empirie und soll mit seinen Entscheidungen eine Verhaltenssicherheit und damit </w:t>
      </w:r>
      <w:r w:rsidRPr="00F91D05">
        <w:rPr>
          <w:rFonts w:ascii="Verdana" w:hAnsi="Verdana"/>
          <w:b/>
          <w:sz w:val="20"/>
          <w:szCs w:val="20"/>
        </w:rPr>
        <w:t>Vollendung des Binnenmarkts</w:t>
      </w:r>
      <w:r>
        <w:rPr>
          <w:rFonts w:ascii="Verdana" w:hAnsi="Verdana"/>
          <w:sz w:val="20"/>
          <w:szCs w:val="20"/>
        </w:rPr>
        <w:t xml:space="preserve"> sowie sozialpolitische </w:t>
      </w:r>
      <w:r w:rsidRPr="006F13B0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Oberziele</w:t>
      </w:r>
      <w:r w:rsidRPr="006F13B0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sicherstellen.</w:t>
      </w:r>
      <w:r w:rsidR="003758A7">
        <w:rPr>
          <w:rFonts w:ascii="Verdana" w:hAnsi="Verdana"/>
          <w:sz w:val="20"/>
          <w:szCs w:val="20"/>
        </w:rPr>
        <w:br/>
      </w:r>
      <w:r w:rsidR="003758A7" w:rsidRPr="003758A7">
        <w:rPr>
          <w:rFonts w:ascii="Verdana" w:hAnsi="Verdana"/>
          <w:sz w:val="20"/>
          <w:szCs w:val="20"/>
        </w:rPr>
        <w:sym w:font="Wingdings" w:char="F0E0"/>
      </w:r>
      <w:r w:rsidR="003758A7">
        <w:rPr>
          <w:rFonts w:ascii="Verdana" w:hAnsi="Verdana"/>
          <w:sz w:val="20"/>
          <w:szCs w:val="20"/>
        </w:rPr>
        <w:t xml:space="preserve">auch entgegen </w:t>
      </w:r>
      <w:proofErr w:type="spellStart"/>
      <w:r w:rsidR="003758A7">
        <w:rPr>
          <w:rFonts w:ascii="Verdana" w:hAnsi="Verdana"/>
          <w:sz w:val="20"/>
          <w:szCs w:val="20"/>
        </w:rPr>
        <w:t>paretianisch</w:t>
      </w:r>
      <w:proofErr w:type="spellEnd"/>
      <w:r w:rsidR="00B31665">
        <w:rPr>
          <w:rFonts w:ascii="Verdana" w:hAnsi="Verdana"/>
          <w:sz w:val="20"/>
          <w:szCs w:val="20"/>
        </w:rPr>
        <w:t xml:space="preserve"> Akte der europäischen Legislative, wenn diese den institutionellen Wettbewerb behindern.</w:t>
      </w:r>
    </w:p>
    <w:p w:rsidR="006F13B0" w:rsidRDefault="006F13B0" w:rsidP="0067272B">
      <w:pPr>
        <w:pStyle w:val="KeinLeerraum"/>
        <w:rPr>
          <w:rFonts w:ascii="Verdana" w:hAnsi="Verdana"/>
          <w:sz w:val="20"/>
          <w:szCs w:val="20"/>
        </w:rPr>
      </w:pPr>
    </w:p>
    <w:p w:rsidR="006F13B0" w:rsidRDefault="006F13B0" w:rsidP="0067272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6F13B0" w:rsidRDefault="006F13B0" w:rsidP="0067272B">
      <w:pPr>
        <w:pStyle w:val="KeinLeerraum"/>
        <w:rPr>
          <w:rFonts w:ascii="Verdana" w:hAnsi="Verdana"/>
          <w:sz w:val="20"/>
          <w:szCs w:val="20"/>
        </w:rPr>
      </w:pPr>
    </w:p>
    <w:p w:rsidR="006F13B0" w:rsidRPr="006F13B0" w:rsidRDefault="006F13B0" w:rsidP="006F13B0">
      <w:pPr>
        <w:pStyle w:val="KeinLeerraum"/>
        <w:rPr>
          <w:rFonts w:ascii="Verdana" w:hAnsi="Verdana"/>
          <w:sz w:val="20"/>
          <w:szCs w:val="20"/>
        </w:rPr>
      </w:pPr>
      <w:r w:rsidRPr="006F13B0">
        <w:rPr>
          <w:rFonts w:ascii="Verdana" w:hAnsi="Verdana"/>
          <w:sz w:val="20"/>
          <w:szCs w:val="20"/>
        </w:rPr>
        <w:t xml:space="preserve">2. </w:t>
      </w:r>
      <w:r w:rsidRPr="006F13B0">
        <w:rPr>
          <w:rFonts w:ascii="Verdana" w:hAnsi="Verdana"/>
          <w:b/>
          <w:sz w:val="20"/>
          <w:szCs w:val="20"/>
          <w:u w:val="single"/>
        </w:rPr>
        <w:t>Institutionelle Struktur des EuGH</w:t>
      </w:r>
    </w:p>
    <w:p w:rsidR="006F13B0" w:rsidRDefault="006F13B0" w:rsidP="0067272B">
      <w:pPr>
        <w:pStyle w:val="KeinLeerraum"/>
        <w:rPr>
          <w:rFonts w:ascii="Verdana" w:hAnsi="Verdana"/>
          <w:sz w:val="20"/>
          <w:szCs w:val="20"/>
        </w:rPr>
      </w:pPr>
    </w:p>
    <w:p w:rsidR="006F13B0" w:rsidRDefault="006F13B0" w:rsidP="0067272B">
      <w:pPr>
        <w:pStyle w:val="KeinLeerraum"/>
        <w:rPr>
          <w:rFonts w:ascii="Verdana" w:hAnsi="Verdana"/>
          <w:sz w:val="20"/>
          <w:szCs w:val="20"/>
        </w:rPr>
      </w:pPr>
      <w:r w:rsidRPr="006F13B0">
        <w:rPr>
          <w:rFonts w:ascii="Verdana" w:hAnsi="Verdana"/>
          <w:b/>
          <w:sz w:val="20"/>
          <w:szCs w:val="20"/>
        </w:rPr>
        <w:t>Europäischer Gerichtshof</w:t>
      </w:r>
      <w:r>
        <w:rPr>
          <w:rFonts w:ascii="Verdana" w:hAnsi="Verdana"/>
          <w:sz w:val="20"/>
          <w:szCs w:val="20"/>
        </w:rPr>
        <w:t xml:space="preserve">: Ist ein zusammengesetztes </w:t>
      </w:r>
      <w:r w:rsidRPr="006F13B0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Gesamtorgan</w:t>
      </w:r>
      <w:r w:rsidRPr="006F13B0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und umfasst den Gerichtshof, das Gericht und die Fachgerichte.</w:t>
      </w:r>
    </w:p>
    <w:p w:rsidR="00DA6BA7" w:rsidRDefault="00DA6BA7" w:rsidP="0067272B">
      <w:pPr>
        <w:pStyle w:val="KeinLeerraum"/>
        <w:rPr>
          <w:rFonts w:ascii="Verdana" w:hAnsi="Verdana"/>
          <w:b/>
          <w:sz w:val="20"/>
          <w:szCs w:val="20"/>
        </w:rPr>
      </w:pPr>
    </w:p>
    <w:p w:rsidR="006F13B0" w:rsidRDefault="006F13B0" w:rsidP="0067272B">
      <w:pPr>
        <w:pStyle w:val="KeinLeerraum"/>
        <w:rPr>
          <w:rFonts w:ascii="Verdana" w:hAnsi="Verdana"/>
          <w:sz w:val="20"/>
          <w:szCs w:val="20"/>
        </w:rPr>
      </w:pPr>
      <w:r w:rsidRPr="00DA6BA7">
        <w:rPr>
          <w:rFonts w:ascii="Verdana" w:hAnsi="Verdana"/>
          <w:b/>
          <w:sz w:val="20"/>
          <w:szCs w:val="20"/>
        </w:rPr>
        <w:t>Richter</w:t>
      </w:r>
      <w:r>
        <w:rPr>
          <w:rFonts w:ascii="Verdana" w:hAnsi="Verdana"/>
          <w:sz w:val="20"/>
          <w:szCs w:val="20"/>
        </w:rPr>
        <w:t xml:space="preserve">: Jede nationale Regierung stellt </w:t>
      </w:r>
      <w:r w:rsidR="00DA6BA7">
        <w:rPr>
          <w:rFonts w:ascii="Verdana" w:hAnsi="Verdana"/>
          <w:sz w:val="20"/>
          <w:szCs w:val="20"/>
        </w:rPr>
        <w:t xml:space="preserve">für sechs Jahre </w:t>
      </w:r>
      <w:r>
        <w:rPr>
          <w:rFonts w:ascii="Verdana" w:hAnsi="Verdana"/>
          <w:sz w:val="20"/>
          <w:szCs w:val="20"/>
        </w:rPr>
        <w:t>einen Richter</w:t>
      </w:r>
      <w:r w:rsidR="00DA6BA7">
        <w:rPr>
          <w:rFonts w:ascii="Verdana" w:hAnsi="Verdana"/>
          <w:sz w:val="20"/>
          <w:szCs w:val="20"/>
        </w:rPr>
        <w:t>, einmalige Verlängerung um sechs Jahre ist möglich.</w:t>
      </w:r>
    </w:p>
    <w:p w:rsidR="00DA6BA7" w:rsidRDefault="00DA6BA7" w:rsidP="0067272B">
      <w:pPr>
        <w:pStyle w:val="KeinLeerraum"/>
        <w:rPr>
          <w:rFonts w:ascii="Verdana" w:hAnsi="Verdana"/>
          <w:b/>
          <w:sz w:val="20"/>
          <w:szCs w:val="20"/>
        </w:rPr>
      </w:pPr>
    </w:p>
    <w:p w:rsidR="006F13B0" w:rsidRDefault="006F13B0" w:rsidP="0067272B">
      <w:pPr>
        <w:pStyle w:val="KeinLeerraum"/>
        <w:rPr>
          <w:rFonts w:ascii="Verdana" w:hAnsi="Verdana"/>
          <w:sz w:val="20"/>
          <w:szCs w:val="20"/>
        </w:rPr>
      </w:pPr>
      <w:r w:rsidRPr="006F13B0">
        <w:rPr>
          <w:rFonts w:ascii="Verdana" w:hAnsi="Verdana"/>
          <w:b/>
          <w:sz w:val="20"/>
          <w:szCs w:val="20"/>
        </w:rPr>
        <w:t>Aufgabe</w:t>
      </w:r>
      <w:r>
        <w:rPr>
          <w:rFonts w:ascii="Verdana" w:hAnsi="Verdana"/>
          <w:sz w:val="20"/>
          <w:szCs w:val="20"/>
        </w:rPr>
        <w:t>: Die Wahrung des Rechts bei der Auslegung und Anwendung der Verträge.</w:t>
      </w:r>
    </w:p>
    <w:p w:rsidR="00DA6BA7" w:rsidRDefault="00DA6BA7" w:rsidP="0067272B">
      <w:pPr>
        <w:pStyle w:val="KeinLeerraum"/>
        <w:rPr>
          <w:rFonts w:ascii="Verdana" w:hAnsi="Verdana"/>
          <w:sz w:val="20"/>
          <w:szCs w:val="20"/>
        </w:rPr>
      </w:pPr>
    </w:p>
    <w:p w:rsidR="00DA6BA7" w:rsidRDefault="00DA6BA7" w:rsidP="00DA6BA7">
      <w:pPr>
        <w:pStyle w:val="KeinLeerraum"/>
        <w:rPr>
          <w:rFonts w:ascii="Verdana" w:hAnsi="Verdana"/>
          <w:sz w:val="20"/>
          <w:szCs w:val="20"/>
        </w:rPr>
      </w:pPr>
      <w:r w:rsidRPr="00DA6BA7">
        <w:rPr>
          <w:rFonts w:ascii="Verdana" w:hAnsi="Verdana"/>
          <w:b/>
          <w:sz w:val="20"/>
          <w:szCs w:val="20"/>
        </w:rPr>
        <w:t>Vorabentscheidungen</w:t>
      </w:r>
      <w:r>
        <w:rPr>
          <w:rFonts w:ascii="Verdana" w:hAnsi="Verdana"/>
          <w:sz w:val="20"/>
          <w:szCs w:val="20"/>
        </w:rPr>
        <w:t xml:space="preserve">: </w:t>
      </w:r>
      <w:r w:rsidRPr="00DA6BA7">
        <w:rPr>
          <w:rFonts w:ascii="Verdana" w:hAnsi="Verdana"/>
          <w:sz w:val="20"/>
          <w:szCs w:val="20"/>
        </w:rPr>
        <w:t>Ersuchen nationaler Gerichte einschließlich nationaler Verfassungsgerichte um Rechtshilfe beim EuGH</w:t>
      </w:r>
      <w:r>
        <w:rPr>
          <w:rFonts w:ascii="Verdana" w:hAnsi="Verdana"/>
          <w:sz w:val="20"/>
          <w:szCs w:val="20"/>
        </w:rPr>
        <w:t>.</w:t>
      </w:r>
    </w:p>
    <w:p w:rsidR="00DA6BA7" w:rsidRDefault="00DA6BA7" w:rsidP="00DA6BA7">
      <w:pPr>
        <w:pStyle w:val="KeinLeerraum"/>
        <w:rPr>
          <w:rFonts w:ascii="Verdana" w:hAnsi="Verdana"/>
          <w:sz w:val="20"/>
          <w:szCs w:val="20"/>
        </w:rPr>
      </w:pPr>
    </w:p>
    <w:p w:rsidR="00DA6BA7" w:rsidRDefault="00DA6BA7" w:rsidP="00DA6B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EuGH verfügt über verschiedene </w:t>
      </w:r>
      <w:r w:rsidRPr="00DA6BA7">
        <w:rPr>
          <w:rFonts w:ascii="Verdana" w:hAnsi="Verdana"/>
          <w:b/>
          <w:sz w:val="20"/>
          <w:szCs w:val="20"/>
        </w:rPr>
        <w:t>Spruchkörper</w:t>
      </w:r>
      <w:r>
        <w:rPr>
          <w:rFonts w:ascii="Verdana" w:hAnsi="Verdana"/>
          <w:sz w:val="20"/>
          <w:szCs w:val="20"/>
        </w:rPr>
        <w:t>:</w:t>
      </w:r>
    </w:p>
    <w:p w:rsidR="00DA6BA7" w:rsidRPr="00DA6BA7" w:rsidRDefault="00DA6BA7" w:rsidP="00DA6BA7">
      <w:pPr>
        <w:pStyle w:val="KeinLeerraum"/>
        <w:rPr>
          <w:rFonts w:ascii="Verdana" w:hAnsi="Verdana"/>
          <w:sz w:val="20"/>
          <w:szCs w:val="20"/>
        </w:rPr>
      </w:pPr>
      <w:r w:rsidRPr="00DA6BA7">
        <w:rPr>
          <w:rFonts w:ascii="Verdana" w:hAnsi="Verdana"/>
          <w:b/>
          <w:sz w:val="20"/>
          <w:szCs w:val="20"/>
        </w:rPr>
        <w:t>Plenum</w:t>
      </w:r>
      <w:r>
        <w:rPr>
          <w:rFonts w:ascii="Verdana" w:hAnsi="Verdana"/>
          <w:sz w:val="20"/>
          <w:szCs w:val="20"/>
        </w:rPr>
        <w:t xml:space="preserve">: tagt nur in begründeten Ausnahmefällen, </w:t>
      </w:r>
      <w:proofErr w:type="spellStart"/>
      <w:r>
        <w:rPr>
          <w:rFonts w:ascii="Verdana" w:hAnsi="Verdana"/>
          <w:sz w:val="20"/>
          <w:szCs w:val="20"/>
        </w:rPr>
        <w:t>zB</w:t>
      </w:r>
      <w:proofErr w:type="spellEnd"/>
      <w:r>
        <w:rPr>
          <w:rFonts w:ascii="Verdana" w:hAnsi="Verdana"/>
          <w:sz w:val="20"/>
          <w:szCs w:val="20"/>
        </w:rPr>
        <w:t xml:space="preserve"> Amtsenthebung eines Kommissars</w:t>
      </w:r>
    </w:p>
    <w:p w:rsidR="006F13B0" w:rsidRDefault="00DA6BA7" w:rsidP="0067272B">
      <w:pPr>
        <w:pStyle w:val="KeinLeerraum"/>
        <w:rPr>
          <w:rFonts w:ascii="Verdana" w:hAnsi="Verdana"/>
          <w:sz w:val="20"/>
          <w:szCs w:val="20"/>
        </w:rPr>
      </w:pPr>
      <w:r w:rsidRPr="00DA6BA7">
        <w:rPr>
          <w:rFonts w:ascii="Verdana" w:hAnsi="Verdana"/>
          <w:b/>
          <w:sz w:val="20"/>
          <w:szCs w:val="20"/>
        </w:rPr>
        <w:t>Große Kammer</w:t>
      </w:r>
      <w:r>
        <w:rPr>
          <w:rFonts w:ascii="Verdana" w:hAnsi="Verdana"/>
          <w:sz w:val="20"/>
          <w:szCs w:val="20"/>
        </w:rPr>
        <w:t xml:space="preserve">: entscheidet entscheidende Rechtssachen, die keine der </w:t>
      </w:r>
      <w:proofErr w:type="spellStart"/>
      <w:r>
        <w:rPr>
          <w:rFonts w:ascii="Verdana" w:hAnsi="Verdana"/>
          <w:sz w:val="20"/>
          <w:szCs w:val="20"/>
        </w:rPr>
        <w:t>o.b.A</w:t>
      </w:r>
      <w:proofErr w:type="spellEnd"/>
      <w:r>
        <w:rPr>
          <w:rFonts w:ascii="Verdana" w:hAnsi="Verdana"/>
          <w:sz w:val="20"/>
          <w:szCs w:val="20"/>
        </w:rPr>
        <w:t>. sind.</w:t>
      </w:r>
      <w:r>
        <w:rPr>
          <w:rFonts w:ascii="Verdana" w:hAnsi="Verdana"/>
          <w:sz w:val="20"/>
          <w:szCs w:val="20"/>
        </w:rPr>
        <w:br/>
      </w:r>
      <w:r w:rsidRPr="00DA6BA7">
        <w:rPr>
          <w:rFonts w:ascii="Verdana" w:hAnsi="Verdana"/>
          <w:b/>
          <w:sz w:val="20"/>
          <w:szCs w:val="20"/>
        </w:rPr>
        <w:t>Kleine Kammern</w:t>
      </w:r>
      <w:r>
        <w:rPr>
          <w:rFonts w:ascii="Verdana" w:hAnsi="Verdana"/>
          <w:sz w:val="20"/>
          <w:szCs w:val="20"/>
        </w:rPr>
        <w:t xml:space="preserve">: entscheiden die meisten Rechtsangelegenheiten. </w:t>
      </w:r>
    </w:p>
    <w:p w:rsidR="00DA6BA7" w:rsidRDefault="00DA6BA7" w:rsidP="0067272B">
      <w:pPr>
        <w:pStyle w:val="KeinLeerraum"/>
        <w:rPr>
          <w:rFonts w:ascii="Verdana" w:hAnsi="Verdana"/>
          <w:sz w:val="20"/>
          <w:szCs w:val="20"/>
        </w:rPr>
      </w:pPr>
    </w:p>
    <w:p w:rsidR="00DA6BA7" w:rsidRDefault="00DA6BA7" w:rsidP="0067272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DA6BA7" w:rsidRDefault="00DA6BA7" w:rsidP="0067272B">
      <w:pPr>
        <w:pStyle w:val="KeinLeerraum"/>
        <w:rPr>
          <w:rFonts w:ascii="Verdana" w:hAnsi="Verdana"/>
          <w:sz w:val="20"/>
          <w:szCs w:val="20"/>
        </w:rPr>
      </w:pPr>
    </w:p>
    <w:p w:rsidR="00DA6BA7" w:rsidRPr="00F91D05" w:rsidRDefault="00DA6BA7" w:rsidP="00F91D05">
      <w:pPr>
        <w:pStyle w:val="KeinLeerraum"/>
        <w:rPr>
          <w:rFonts w:ascii="Verdana" w:hAnsi="Verdana"/>
          <w:sz w:val="20"/>
          <w:szCs w:val="20"/>
        </w:rPr>
      </w:pPr>
      <w:r w:rsidRPr="00F91D05">
        <w:rPr>
          <w:rFonts w:ascii="Verdana" w:hAnsi="Verdana"/>
          <w:sz w:val="20"/>
          <w:szCs w:val="20"/>
        </w:rPr>
        <w:t xml:space="preserve">3. </w:t>
      </w:r>
      <w:r w:rsidRPr="00F91D05">
        <w:rPr>
          <w:rFonts w:ascii="Verdana" w:hAnsi="Verdana"/>
          <w:b/>
          <w:sz w:val="20"/>
          <w:szCs w:val="20"/>
          <w:u w:val="single"/>
        </w:rPr>
        <w:t>EuGH als systemisches Leitgericht oder ein Verfassungsgericht?</w:t>
      </w:r>
    </w:p>
    <w:p w:rsidR="00DA6BA7" w:rsidRDefault="00DA6BA7" w:rsidP="0067272B">
      <w:pPr>
        <w:pStyle w:val="KeinLeerraum"/>
        <w:rPr>
          <w:rFonts w:ascii="Verdana" w:hAnsi="Verdana"/>
          <w:sz w:val="20"/>
          <w:szCs w:val="20"/>
        </w:rPr>
      </w:pPr>
    </w:p>
    <w:p w:rsidR="00F91D05" w:rsidRDefault="00F91D05" w:rsidP="00F91D05">
      <w:pPr>
        <w:pStyle w:val="KeinLeerraum"/>
        <w:rPr>
          <w:rFonts w:ascii="Verdana" w:hAnsi="Verdana"/>
          <w:sz w:val="20"/>
          <w:szCs w:val="20"/>
        </w:rPr>
      </w:pPr>
      <w:r w:rsidRPr="00F91D05">
        <w:rPr>
          <w:rFonts w:ascii="Verdana" w:hAnsi="Verdana"/>
          <w:sz w:val="20"/>
          <w:szCs w:val="20"/>
        </w:rPr>
        <w:t xml:space="preserve">Der EuGH hat sich, wie in der Literatur durchgängig argumentiert wird, durch seine Urteile faktisch selber zum </w:t>
      </w:r>
      <w:r w:rsidRPr="00F91D05">
        <w:rPr>
          <w:rFonts w:ascii="Verdana" w:hAnsi="Verdana"/>
          <w:b/>
          <w:sz w:val="20"/>
          <w:szCs w:val="20"/>
        </w:rPr>
        <w:t>Europäischen Verfassungsgericht</w:t>
      </w:r>
      <w:r w:rsidRPr="00F91D05">
        <w:rPr>
          <w:rFonts w:ascii="Verdana" w:hAnsi="Verdana"/>
          <w:sz w:val="20"/>
          <w:szCs w:val="20"/>
        </w:rPr>
        <w:t xml:space="preserve"> geadelt, in dem er dem </w:t>
      </w:r>
      <w:r w:rsidRPr="00F91D05">
        <w:rPr>
          <w:rFonts w:ascii="Verdana" w:hAnsi="Verdana"/>
          <w:b/>
          <w:sz w:val="20"/>
          <w:szCs w:val="20"/>
        </w:rPr>
        <w:t>Unionsrecht</w:t>
      </w:r>
      <w:r w:rsidRPr="00F91D05">
        <w:rPr>
          <w:rFonts w:ascii="Verdana" w:hAnsi="Verdana"/>
          <w:sz w:val="20"/>
          <w:szCs w:val="20"/>
        </w:rPr>
        <w:t xml:space="preserve"> einen Vorrang gegenüber </w:t>
      </w:r>
      <w:r w:rsidRPr="00F91D05">
        <w:rPr>
          <w:rFonts w:ascii="Verdana" w:hAnsi="Verdana"/>
          <w:b/>
          <w:sz w:val="20"/>
          <w:szCs w:val="20"/>
        </w:rPr>
        <w:t>nationalem Recht</w:t>
      </w:r>
      <w:r w:rsidRPr="00F91D05">
        <w:rPr>
          <w:rFonts w:ascii="Verdana" w:hAnsi="Verdana"/>
          <w:sz w:val="20"/>
          <w:szCs w:val="20"/>
        </w:rPr>
        <w:t xml:space="preserve"> einräumt.</w:t>
      </w:r>
      <w:r>
        <w:rPr>
          <w:rFonts w:ascii="Verdana" w:hAnsi="Verdana"/>
          <w:sz w:val="20"/>
          <w:szCs w:val="20"/>
        </w:rPr>
        <w:t xml:space="preserve"> Gleichwohl ist darauf zu achten, dass der EuGH primär über </w:t>
      </w:r>
      <w:r w:rsidRPr="00F91D05">
        <w:rPr>
          <w:rFonts w:ascii="Verdana" w:hAnsi="Verdana"/>
          <w:b/>
          <w:sz w:val="20"/>
          <w:szCs w:val="20"/>
        </w:rPr>
        <w:t>wirtschafts- und geldpolitische Kompetenzen</w:t>
      </w:r>
      <w:r>
        <w:rPr>
          <w:rFonts w:ascii="Verdana" w:hAnsi="Verdana"/>
          <w:sz w:val="20"/>
          <w:szCs w:val="20"/>
        </w:rPr>
        <w:t xml:space="preserve"> richten darf, er ist also eher als </w:t>
      </w:r>
      <w:r w:rsidRPr="00F91D05">
        <w:rPr>
          <w:rFonts w:ascii="Verdana" w:hAnsi="Verdana"/>
          <w:b/>
          <w:sz w:val="20"/>
          <w:szCs w:val="20"/>
        </w:rPr>
        <w:t>Marktgericht</w:t>
      </w:r>
      <w:r w:rsidRPr="00F91D05">
        <w:rPr>
          <w:rFonts w:ascii="Verdana" w:hAnsi="Verdana"/>
          <w:sz w:val="20"/>
          <w:szCs w:val="20"/>
        </w:rPr>
        <w:t xml:space="preserve"> zur finalen Festlegung </w:t>
      </w:r>
      <w:r>
        <w:rPr>
          <w:rFonts w:ascii="Verdana" w:hAnsi="Verdana"/>
          <w:sz w:val="20"/>
          <w:szCs w:val="20"/>
        </w:rPr>
        <w:t>einer</w:t>
      </w:r>
      <w:r w:rsidRPr="00F91D05">
        <w:rPr>
          <w:rFonts w:ascii="Verdana" w:hAnsi="Verdana"/>
          <w:sz w:val="20"/>
          <w:szCs w:val="20"/>
        </w:rPr>
        <w:t xml:space="preserve"> europäischen Ordnungspolitik zu definieren.</w:t>
      </w:r>
    </w:p>
    <w:p w:rsidR="00F91D05" w:rsidRDefault="00F91D05" w:rsidP="00F91D05">
      <w:pPr>
        <w:pStyle w:val="KeinLeerraum"/>
        <w:rPr>
          <w:rFonts w:ascii="Verdana" w:hAnsi="Verdana"/>
          <w:sz w:val="20"/>
          <w:szCs w:val="20"/>
        </w:rPr>
      </w:pPr>
    </w:p>
    <w:p w:rsidR="00F91D05" w:rsidRDefault="000341B0" w:rsidP="00F91D05">
      <w:pPr>
        <w:pStyle w:val="KeinLeerraum"/>
        <w:rPr>
          <w:rFonts w:ascii="Verdana" w:hAnsi="Verdana"/>
          <w:sz w:val="20"/>
          <w:szCs w:val="20"/>
        </w:rPr>
      </w:pPr>
      <w:r w:rsidRPr="000341B0">
        <w:rPr>
          <w:rFonts w:ascii="Verdana" w:hAnsi="Verdana"/>
          <w:sz w:val="20"/>
          <w:szCs w:val="20"/>
        </w:rPr>
        <w:t>konstitutive</w:t>
      </w:r>
      <w:r>
        <w:rPr>
          <w:rFonts w:ascii="Verdana" w:hAnsi="Verdana"/>
          <w:b/>
          <w:sz w:val="20"/>
          <w:szCs w:val="20"/>
        </w:rPr>
        <w:t xml:space="preserve"> </w:t>
      </w:r>
      <w:r w:rsidR="00F91D05" w:rsidRPr="00F91D05">
        <w:rPr>
          <w:rFonts w:ascii="Verdana" w:hAnsi="Verdana"/>
          <w:b/>
          <w:sz w:val="20"/>
          <w:szCs w:val="20"/>
        </w:rPr>
        <w:t>Clubgüter der EU</w:t>
      </w:r>
      <w:r w:rsidR="00F91D05">
        <w:rPr>
          <w:rFonts w:ascii="Verdana" w:hAnsi="Verdana"/>
          <w:sz w:val="20"/>
          <w:szCs w:val="20"/>
        </w:rPr>
        <w:t xml:space="preserve">: </w:t>
      </w:r>
    </w:p>
    <w:p w:rsidR="00F91D05" w:rsidRPr="00F91D05" w:rsidRDefault="00F91D05" w:rsidP="00F91D0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</w:t>
      </w:r>
      <w:r w:rsidRPr="00F91D05">
        <w:rPr>
          <w:rFonts w:ascii="Verdana" w:hAnsi="Verdana"/>
          <w:sz w:val="20"/>
          <w:szCs w:val="20"/>
        </w:rPr>
        <w:t>er Binnenmarkt mit seinen vier Grundfreiheiten (Kapital,</w:t>
      </w:r>
      <w:r>
        <w:rPr>
          <w:rFonts w:ascii="Verdana" w:hAnsi="Verdana"/>
          <w:sz w:val="20"/>
          <w:szCs w:val="20"/>
        </w:rPr>
        <w:t xml:space="preserve"> Arbeit, Güter, Dienstleistung)</w:t>
      </w:r>
      <w:r w:rsidRPr="00F91D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F91D05">
        <w:rPr>
          <w:rFonts w:ascii="Verdana" w:hAnsi="Verdana"/>
          <w:sz w:val="20"/>
          <w:szCs w:val="20"/>
        </w:rPr>
        <w:t xml:space="preserve">Mobilitätsfreiheit auf Faktor- und Gütermärkten, </w:t>
      </w:r>
      <w:r>
        <w:rPr>
          <w:rFonts w:ascii="Verdana" w:hAnsi="Verdana"/>
          <w:sz w:val="20"/>
          <w:szCs w:val="20"/>
        </w:rPr>
        <w:t>Unverfälschter Wettbewerb</w:t>
      </w:r>
      <w:r w:rsidRPr="00F91D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- A</w:t>
      </w:r>
      <w:r w:rsidRPr="00F91D05">
        <w:rPr>
          <w:rFonts w:ascii="Verdana" w:hAnsi="Verdana"/>
          <w:sz w:val="20"/>
          <w:szCs w:val="20"/>
        </w:rPr>
        <w:t xml:space="preserve">llgemeines </w:t>
      </w:r>
      <w:r w:rsidR="000341B0">
        <w:rPr>
          <w:rFonts w:ascii="Verdana" w:hAnsi="Verdana"/>
          <w:sz w:val="20"/>
          <w:szCs w:val="20"/>
        </w:rPr>
        <w:t>Diskriminierungsverbot</w:t>
      </w:r>
      <w:r>
        <w:rPr>
          <w:rFonts w:ascii="Verdana" w:hAnsi="Verdana"/>
          <w:sz w:val="20"/>
          <w:szCs w:val="20"/>
        </w:rPr>
        <w:t>, komparative</w:t>
      </w:r>
      <w:r w:rsidRPr="00F91D05">
        <w:rPr>
          <w:rFonts w:ascii="Verdana" w:hAnsi="Verdana"/>
          <w:sz w:val="20"/>
          <w:szCs w:val="20"/>
        </w:rPr>
        <w:t xml:space="preserve"> Kostenvorteile.</w:t>
      </w:r>
      <w:r>
        <w:rPr>
          <w:rFonts w:ascii="Verdana" w:hAnsi="Verdana"/>
          <w:sz w:val="20"/>
          <w:szCs w:val="20"/>
        </w:rPr>
        <w:br/>
      </w:r>
      <w:r w:rsidRPr="00F91D05">
        <w:rPr>
          <w:rFonts w:ascii="Verdana" w:hAnsi="Verdana"/>
          <w:sz w:val="20"/>
          <w:szCs w:val="20"/>
        </w:rPr>
        <w:sym w:font="Wingdings" w:char="F0E0"/>
      </w:r>
      <w:r w:rsidRPr="00F91D05">
        <w:rPr>
          <w:rFonts w:ascii="Verdana" w:hAnsi="Verdana"/>
          <w:sz w:val="20"/>
          <w:szCs w:val="20"/>
        </w:rPr>
        <w:t xml:space="preserve">Ziel: </w:t>
      </w:r>
      <w:r w:rsidRPr="00F91D05">
        <w:rPr>
          <w:rFonts w:ascii="Verdana" w:hAnsi="Verdana"/>
          <w:b/>
          <w:sz w:val="20"/>
          <w:szCs w:val="20"/>
        </w:rPr>
        <w:t>Allokationseffizienz im Integrationsraum</w:t>
      </w:r>
      <w:r w:rsidRPr="00F91D05">
        <w:rPr>
          <w:rFonts w:ascii="Verdana" w:hAnsi="Verdana"/>
          <w:sz w:val="20"/>
          <w:szCs w:val="20"/>
        </w:rPr>
        <w:t>.</w:t>
      </w:r>
    </w:p>
    <w:p w:rsidR="00F91D05" w:rsidRDefault="00F91D05" w:rsidP="00F91D05">
      <w:pPr>
        <w:pStyle w:val="KeinLeerraum"/>
        <w:rPr>
          <w:rFonts w:ascii="Verdana" w:hAnsi="Verdana"/>
          <w:sz w:val="20"/>
          <w:szCs w:val="20"/>
        </w:rPr>
      </w:pPr>
    </w:p>
    <w:p w:rsidR="00115052" w:rsidRDefault="00115052" w:rsidP="00115052">
      <w:pPr>
        <w:pStyle w:val="KeinLeerraum"/>
        <w:rPr>
          <w:rFonts w:ascii="Verdana" w:hAnsi="Verdana"/>
          <w:sz w:val="20"/>
          <w:szCs w:val="20"/>
        </w:rPr>
      </w:pPr>
      <w:r w:rsidRPr="00115052">
        <w:rPr>
          <w:rFonts w:ascii="Verdana" w:hAnsi="Verdana"/>
          <w:sz w:val="20"/>
          <w:szCs w:val="20"/>
        </w:rPr>
        <w:t xml:space="preserve">Der EuGH ist als deutlicher </w:t>
      </w:r>
      <w:proofErr w:type="spellStart"/>
      <w:r w:rsidRPr="00115052">
        <w:rPr>
          <w:rFonts w:ascii="Verdana" w:hAnsi="Verdana"/>
          <w:b/>
          <w:sz w:val="20"/>
          <w:szCs w:val="20"/>
        </w:rPr>
        <w:t>Anerkennungsmaximierer</w:t>
      </w:r>
      <w:proofErr w:type="spellEnd"/>
      <w:r w:rsidRPr="00115052">
        <w:rPr>
          <w:rFonts w:ascii="Verdana" w:hAnsi="Verdana"/>
          <w:sz w:val="20"/>
          <w:szCs w:val="20"/>
        </w:rPr>
        <w:t xml:space="preserve"> des supranationalen Systems mit seinen invarianten </w:t>
      </w:r>
      <w:r w:rsidRPr="00115052">
        <w:rPr>
          <w:rFonts w:ascii="Verdana" w:hAnsi="Verdana"/>
          <w:b/>
          <w:sz w:val="20"/>
          <w:szCs w:val="20"/>
        </w:rPr>
        <w:t>Grundsätzen</w:t>
      </w:r>
      <w:r w:rsidRPr="00115052">
        <w:rPr>
          <w:rFonts w:ascii="Verdana" w:hAnsi="Verdana"/>
          <w:sz w:val="20"/>
          <w:szCs w:val="20"/>
        </w:rPr>
        <w:t xml:space="preserve"> zu qualifizieren. Er festigt über normativ determinierte Grundsätze wirtschaftspolitische Paradigmen der EU,</w:t>
      </w:r>
      <w:r>
        <w:rPr>
          <w:rFonts w:ascii="Verdana" w:hAnsi="Verdana"/>
          <w:sz w:val="20"/>
          <w:szCs w:val="20"/>
        </w:rPr>
        <w:t xml:space="preserve"> wie etwa die Vollendung des Binnenmarkts.</w:t>
      </w:r>
      <w:r>
        <w:rPr>
          <w:rFonts w:ascii="Verdana" w:hAnsi="Verdana"/>
          <w:sz w:val="20"/>
          <w:szCs w:val="20"/>
        </w:rPr>
        <w:br/>
      </w:r>
      <w:r w:rsidRPr="00115052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Kritik </w:t>
      </w:r>
      <w:r w:rsidRPr="006F13B0">
        <w:rPr>
          <w:rFonts w:ascii="Verdana" w:hAnsi="Verdana"/>
          <w:sz w:val="20"/>
          <w:szCs w:val="20"/>
        </w:rPr>
        <w:t>"</w:t>
      </w:r>
      <w:r w:rsidRPr="00115052">
        <w:rPr>
          <w:rFonts w:ascii="Verdana" w:hAnsi="Verdana"/>
          <w:b/>
          <w:sz w:val="20"/>
          <w:szCs w:val="20"/>
        </w:rPr>
        <w:t>Politische Justiz</w:t>
      </w:r>
      <w:r w:rsidRPr="006F13B0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: wenn der EuGH bestimmte Rechtsbegriffe </w:t>
      </w:r>
      <w:r w:rsidRPr="006F13B0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sehr weit</w:t>
      </w:r>
      <w:r w:rsidRPr="006F13B0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 xml:space="preserve"> zum </w:t>
      </w:r>
      <w:r>
        <w:rPr>
          <w:rFonts w:ascii="Verdana" w:hAnsi="Verdana"/>
          <w:sz w:val="20"/>
          <w:szCs w:val="20"/>
        </w:rPr>
        <w:lastRenderedPageBreak/>
        <w:t>Zwecke der Vollendung des Binnenmarkts interpretiert oder wenn er kodifiziertes Recht auflöst, um sie den Grundsätzen des Binnenmarkts zu unterwerfen.</w:t>
      </w:r>
    </w:p>
    <w:p w:rsidR="00115052" w:rsidRDefault="00115052" w:rsidP="00115052">
      <w:pPr>
        <w:pStyle w:val="KeinLeerraum"/>
        <w:rPr>
          <w:rFonts w:ascii="Verdana" w:hAnsi="Verdana"/>
          <w:sz w:val="20"/>
          <w:szCs w:val="20"/>
        </w:rPr>
      </w:pPr>
    </w:p>
    <w:p w:rsidR="00115052" w:rsidRPr="00115052" w:rsidRDefault="00115052" w:rsidP="00115052">
      <w:pPr>
        <w:pStyle w:val="KeinLeerraum"/>
        <w:rPr>
          <w:rFonts w:ascii="Verdana" w:hAnsi="Verdana"/>
          <w:sz w:val="20"/>
          <w:szCs w:val="20"/>
        </w:rPr>
      </w:pPr>
      <w:r w:rsidRPr="00115052">
        <w:rPr>
          <w:rFonts w:ascii="Verdana" w:hAnsi="Verdana"/>
          <w:sz w:val="20"/>
          <w:szCs w:val="20"/>
        </w:rPr>
        <w:t xml:space="preserve">4. </w:t>
      </w:r>
      <w:r w:rsidRPr="00115052">
        <w:rPr>
          <w:rFonts w:ascii="Verdana" w:hAnsi="Verdana"/>
          <w:b/>
          <w:sz w:val="20"/>
          <w:szCs w:val="20"/>
          <w:u w:val="single"/>
        </w:rPr>
        <w:t>Auslegungsmethoden des EuGH</w:t>
      </w:r>
    </w:p>
    <w:p w:rsidR="00115052" w:rsidRPr="000341B0" w:rsidRDefault="00115052" w:rsidP="000341B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0341B0">
        <w:rPr>
          <w:rFonts w:ascii="Verdana" w:hAnsi="Verdana"/>
          <w:sz w:val="20"/>
          <w:szCs w:val="20"/>
        </w:rPr>
        <w:t xml:space="preserve">Der EuGH nimmt insbesondere auf zwei Auslegungsmethoden Bezug: </w:t>
      </w:r>
    </w:p>
    <w:p w:rsidR="00115052" w:rsidRPr="000341B0" w:rsidRDefault="000341B0" w:rsidP="000341B0">
      <w:pPr>
        <w:pStyle w:val="KeinLeerraum"/>
        <w:rPr>
          <w:rFonts w:ascii="Verdana" w:hAnsi="Verdana"/>
          <w:sz w:val="20"/>
          <w:szCs w:val="20"/>
        </w:rPr>
      </w:pPr>
      <w:r w:rsidRPr="000341B0">
        <w:rPr>
          <w:rFonts w:ascii="Verdana" w:hAnsi="Verdana"/>
          <w:sz w:val="20"/>
          <w:szCs w:val="20"/>
        </w:rPr>
        <w:br/>
      </w:r>
      <w:r w:rsidR="00115052" w:rsidRPr="000341B0">
        <w:rPr>
          <w:rFonts w:ascii="Verdana" w:hAnsi="Verdana"/>
          <w:sz w:val="20"/>
          <w:szCs w:val="20"/>
        </w:rPr>
        <w:t xml:space="preserve">1. </w:t>
      </w:r>
      <w:r w:rsidR="00115052" w:rsidRPr="000341B0">
        <w:rPr>
          <w:rFonts w:ascii="Verdana" w:hAnsi="Verdana"/>
          <w:b/>
          <w:sz w:val="20"/>
          <w:szCs w:val="20"/>
        </w:rPr>
        <w:t>Effet-</w:t>
      </w:r>
      <w:proofErr w:type="spellStart"/>
      <w:r w:rsidR="00115052" w:rsidRPr="000341B0">
        <w:rPr>
          <w:rFonts w:ascii="Verdana" w:hAnsi="Verdana"/>
          <w:b/>
          <w:sz w:val="20"/>
          <w:szCs w:val="20"/>
        </w:rPr>
        <w:t>utile</w:t>
      </w:r>
      <w:proofErr w:type="spellEnd"/>
      <w:r w:rsidR="00115052" w:rsidRPr="000341B0">
        <w:rPr>
          <w:rFonts w:ascii="Verdana" w:hAnsi="Verdana"/>
          <w:b/>
          <w:sz w:val="20"/>
          <w:szCs w:val="20"/>
        </w:rPr>
        <w:t>-Doktrin</w:t>
      </w:r>
      <w:r w:rsidR="00115052" w:rsidRPr="000341B0">
        <w:rPr>
          <w:rFonts w:ascii="Verdana" w:hAnsi="Verdana"/>
          <w:sz w:val="20"/>
          <w:szCs w:val="20"/>
        </w:rPr>
        <w:t xml:space="preserve">: Die Norm muss so ausgelegt werden, dass wirksam </w:t>
      </w:r>
      <w:r>
        <w:rPr>
          <w:rFonts w:ascii="Verdana" w:hAnsi="Verdana"/>
          <w:sz w:val="20"/>
          <w:szCs w:val="20"/>
        </w:rPr>
        <w:t xml:space="preserve">/ zieldienlich </w:t>
      </w:r>
      <w:r w:rsidR="00115052" w:rsidRPr="000341B0">
        <w:rPr>
          <w:rFonts w:ascii="Verdana" w:hAnsi="Verdana"/>
          <w:sz w:val="20"/>
          <w:szCs w:val="20"/>
        </w:rPr>
        <w:t>ist</w:t>
      </w:r>
      <w:r>
        <w:rPr>
          <w:rFonts w:ascii="Verdana" w:hAnsi="Verdana"/>
          <w:sz w:val="20"/>
          <w:szCs w:val="20"/>
        </w:rPr>
        <w:t>.</w:t>
      </w:r>
    </w:p>
    <w:p w:rsidR="00115052" w:rsidRDefault="000341B0" w:rsidP="000341B0">
      <w:pPr>
        <w:pStyle w:val="KeinLeerraum"/>
        <w:rPr>
          <w:rFonts w:ascii="Verdana" w:hAnsi="Verdana"/>
          <w:sz w:val="20"/>
          <w:szCs w:val="20"/>
        </w:rPr>
      </w:pPr>
      <w:r w:rsidRPr="000341B0">
        <w:rPr>
          <w:rFonts w:ascii="Verdana" w:hAnsi="Verdana"/>
          <w:sz w:val="20"/>
          <w:szCs w:val="20"/>
        </w:rPr>
        <w:t>2.</w:t>
      </w:r>
      <w:r w:rsidR="00115052" w:rsidRPr="000341B0">
        <w:rPr>
          <w:rFonts w:ascii="Verdana" w:hAnsi="Verdana"/>
          <w:sz w:val="20"/>
          <w:szCs w:val="20"/>
        </w:rPr>
        <w:t xml:space="preserve"> </w:t>
      </w:r>
      <w:proofErr w:type="spellStart"/>
      <w:r w:rsidR="00115052" w:rsidRPr="000341B0">
        <w:rPr>
          <w:rFonts w:ascii="Verdana" w:hAnsi="Verdana"/>
          <w:b/>
          <w:sz w:val="20"/>
          <w:szCs w:val="20"/>
        </w:rPr>
        <w:t>Implied</w:t>
      </w:r>
      <w:proofErr w:type="spellEnd"/>
      <w:r w:rsidR="00115052" w:rsidRPr="000341B0">
        <w:rPr>
          <w:rFonts w:ascii="Verdana" w:hAnsi="Verdana"/>
          <w:b/>
          <w:sz w:val="20"/>
          <w:szCs w:val="20"/>
        </w:rPr>
        <w:t>-</w:t>
      </w:r>
      <w:proofErr w:type="spellStart"/>
      <w:r w:rsidR="00115052" w:rsidRPr="000341B0">
        <w:rPr>
          <w:rFonts w:ascii="Verdana" w:hAnsi="Verdana"/>
          <w:b/>
          <w:sz w:val="20"/>
          <w:szCs w:val="20"/>
        </w:rPr>
        <w:t>powers</w:t>
      </w:r>
      <w:proofErr w:type="spellEnd"/>
      <w:r w:rsidR="00115052" w:rsidRPr="000341B0">
        <w:rPr>
          <w:rFonts w:ascii="Verdana" w:hAnsi="Verdana"/>
          <w:b/>
          <w:sz w:val="20"/>
          <w:szCs w:val="20"/>
        </w:rPr>
        <w:t>-Doktrin</w:t>
      </w:r>
      <w:r w:rsidR="00115052" w:rsidRPr="000341B0">
        <w:rPr>
          <w:rFonts w:ascii="Verdana" w:hAnsi="Verdana"/>
          <w:sz w:val="20"/>
          <w:szCs w:val="20"/>
        </w:rPr>
        <w:t>: Was nicht (explizit) verboten ist, ist (implizit) erlaubt.</w:t>
      </w:r>
    </w:p>
    <w:p w:rsidR="000341B0" w:rsidRDefault="000341B0" w:rsidP="000341B0">
      <w:pPr>
        <w:pStyle w:val="KeinLeerraum"/>
        <w:rPr>
          <w:rFonts w:ascii="Verdana" w:hAnsi="Verdana"/>
          <w:sz w:val="20"/>
          <w:szCs w:val="20"/>
        </w:rPr>
      </w:pPr>
    </w:p>
    <w:p w:rsidR="000341B0" w:rsidRDefault="000341B0" w:rsidP="000341B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0341B0" w:rsidRDefault="000341B0" w:rsidP="000341B0">
      <w:pPr>
        <w:pStyle w:val="KeinLeerraum"/>
        <w:rPr>
          <w:rFonts w:ascii="Verdana" w:hAnsi="Verdana"/>
          <w:sz w:val="20"/>
          <w:szCs w:val="20"/>
        </w:rPr>
      </w:pPr>
    </w:p>
    <w:p w:rsidR="000341B0" w:rsidRDefault="000341B0" w:rsidP="000341B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CD2ED6">
        <w:rPr>
          <w:rFonts w:ascii="Verdana" w:hAnsi="Verdana"/>
          <w:b/>
          <w:sz w:val="20"/>
          <w:szCs w:val="20"/>
          <w:u w:val="single"/>
        </w:rPr>
        <w:t>Beispiel Tarifautonomie</w:t>
      </w:r>
    </w:p>
    <w:p w:rsidR="000341B0" w:rsidRDefault="000341B0" w:rsidP="000341B0">
      <w:pPr>
        <w:pStyle w:val="KeinLeerraum"/>
        <w:rPr>
          <w:rFonts w:ascii="Verdana" w:hAnsi="Verdana"/>
          <w:sz w:val="20"/>
          <w:szCs w:val="20"/>
        </w:rPr>
      </w:pPr>
    </w:p>
    <w:p w:rsidR="000341B0" w:rsidRDefault="000341B0" w:rsidP="000341B0">
      <w:pPr>
        <w:pStyle w:val="KeinLeerraum"/>
        <w:rPr>
          <w:rFonts w:ascii="Verdana" w:hAnsi="Verdana"/>
          <w:sz w:val="20"/>
          <w:szCs w:val="20"/>
        </w:rPr>
      </w:pPr>
      <w:r w:rsidRPr="000341B0">
        <w:rPr>
          <w:rFonts w:ascii="Verdana" w:hAnsi="Verdana"/>
          <w:b/>
          <w:sz w:val="20"/>
          <w:szCs w:val="20"/>
        </w:rPr>
        <w:t>Tarifautonomie</w:t>
      </w:r>
      <w:r>
        <w:rPr>
          <w:rFonts w:ascii="Verdana" w:hAnsi="Verdana"/>
          <w:sz w:val="20"/>
          <w:szCs w:val="20"/>
        </w:rPr>
        <w:t>: dient der Organisierung von Lohn- und Arbeitsbedingungen durch zivile Akteure (Sozialpartner) sowohl auf nationaler als auch auf europäischer Ebene und ist damit eine Form partizipativer Demokratie und als zentrales Anliegen im Integrationsraum respektiert.</w:t>
      </w:r>
    </w:p>
    <w:p w:rsidR="00CD2ED6" w:rsidRDefault="00CD2ED6" w:rsidP="000341B0">
      <w:pPr>
        <w:pStyle w:val="KeinLeerraum"/>
        <w:rPr>
          <w:rFonts w:ascii="Verdana" w:hAnsi="Verdana"/>
          <w:sz w:val="20"/>
          <w:szCs w:val="20"/>
        </w:rPr>
      </w:pPr>
    </w:p>
    <w:p w:rsidR="000341B0" w:rsidRDefault="00CD2ED6">
      <w:pPr>
        <w:pStyle w:val="KeinLeerraum"/>
        <w:rPr>
          <w:rFonts w:ascii="Verdana" w:hAnsi="Verdana"/>
          <w:sz w:val="20"/>
          <w:szCs w:val="20"/>
        </w:rPr>
      </w:pPr>
      <w:r w:rsidRPr="00CD2ED6">
        <w:rPr>
          <w:rFonts w:ascii="Verdana" w:hAnsi="Verdana"/>
          <w:b/>
          <w:sz w:val="20"/>
          <w:szCs w:val="20"/>
        </w:rPr>
        <w:t>Tarifverträge</w:t>
      </w:r>
      <w:r w:rsidRPr="00CD2ED6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wesentliche Institution</w:t>
      </w:r>
      <w:r w:rsidRPr="00CD2ED6">
        <w:rPr>
          <w:rFonts w:ascii="Verdana" w:hAnsi="Verdana"/>
          <w:sz w:val="20"/>
          <w:szCs w:val="20"/>
        </w:rPr>
        <w:t xml:space="preserve"> zur ‚gerechten‘ Distribution</w:t>
      </w:r>
      <w:r>
        <w:rPr>
          <w:rFonts w:ascii="Verdana" w:hAnsi="Verdana"/>
          <w:sz w:val="20"/>
          <w:szCs w:val="20"/>
        </w:rPr>
        <w:t>, die angemessene Lohn und Arbeitsbedingungen innerhalb einer Nation festlegen.</w:t>
      </w:r>
    </w:p>
    <w:p w:rsidR="00CD2ED6" w:rsidRDefault="00CD2ED6">
      <w:pPr>
        <w:pStyle w:val="KeinLeerraum"/>
        <w:rPr>
          <w:rFonts w:ascii="Verdana" w:hAnsi="Verdana"/>
          <w:sz w:val="20"/>
          <w:szCs w:val="20"/>
        </w:rPr>
      </w:pPr>
    </w:p>
    <w:p w:rsidR="00CD2ED6" w:rsidRDefault="00CD2ED6">
      <w:pPr>
        <w:pStyle w:val="KeinLeerraum"/>
        <w:rPr>
          <w:rFonts w:ascii="Verdana" w:hAnsi="Verdana"/>
          <w:sz w:val="20"/>
          <w:szCs w:val="20"/>
        </w:rPr>
      </w:pPr>
      <w:r w:rsidRPr="00CD2ED6">
        <w:rPr>
          <w:rFonts w:ascii="Verdana" w:hAnsi="Verdana"/>
          <w:b/>
          <w:sz w:val="20"/>
          <w:szCs w:val="20"/>
        </w:rPr>
        <w:t>Supranationale</w:t>
      </w:r>
      <w:r>
        <w:rPr>
          <w:rFonts w:ascii="Verdana" w:hAnsi="Verdana"/>
          <w:b/>
          <w:sz w:val="20"/>
          <w:szCs w:val="20"/>
        </w:rPr>
        <w:t>s</w:t>
      </w:r>
      <w:r w:rsidRPr="00CD2ED6">
        <w:rPr>
          <w:rFonts w:ascii="Verdana" w:hAnsi="Verdana"/>
          <w:b/>
          <w:sz w:val="20"/>
          <w:szCs w:val="20"/>
        </w:rPr>
        <w:t xml:space="preserve"> Tarifvertragsmodell</w:t>
      </w:r>
      <w:r>
        <w:rPr>
          <w:rFonts w:ascii="Verdana" w:hAnsi="Verdana"/>
          <w:sz w:val="20"/>
          <w:szCs w:val="20"/>
        </w:rPr>
        <w:t xml:space="preserve">: ein nationaler Tarifvertrag muss als </w:t>
      </w:r>
      <w:r w:rsidRPr="00CD2ED6">
        <w:rPr>
          <w:rFonts w:ascii="Verdana" w:hAnsi="Verdana"/>
          <w:i/>
          <w:sz w:val="20"/>
          <w:szCs w:val="20"/>
        </w:rPr>
        <w:t>allgemeinverbindlich</w:t>
      </w:r>
      <w:r>
        <w:rPr>
          <w:rFonts w:ascii="Verdana" w:hAnsi="Verdana"/>
          <w:sz w:val="20"/>
          <w:szCs w:val="20"/>
        </w:rPr>
        <w:t xml:space="preserve"> erklärt (AVE) erklärt werden, um ihn für EU-Ausländer verpflichten zu können (</w:t>
      </w:r>
      <w:r w:rsidRPr="00CF0886">
        <w:rPr>
          <w:rFonts w:ascii="Verdana" w:hAnsi="Verdana"/>
          <w:b/>
          <w:sz w:val="20"/>
          <w:szCs w:val="20"/>
        </w:rPr>
        <w:t>Entsende-Richtlinie</w:t>
      </w:r>
      <w:r>
        <w:rPr>
          <w:rFonts w:ascii="Verdana" w:hAnsi="Verdana"/>
          <w:sz w:val="20"/>
          <w:szCs w:val="20"/>
        </w:rPr>
        <w:t>).</w:t>
      </w:r>
      <w:r w:rsidR="00CF0886">
        <w:rPr>
          <w:rFonts w:ascii="Verdana" w:hAnsi="Verdana"/>
          <w:sz w:val="20"/>
          <w:szCs w:val="20"/>
        </w:rPr>
        <w:t xml:space="preserve"> (schwer </w:t>
      </w:r>
      <w:r>
        <w:rPr>
          <w:rFonts w:ascii="Verdana" w:hAnsi="Verdana"/>
          <w:sz w:val="20"/>
          <w:szCs w:val="20"/>
        </w:rPr>
        <w:t>zu erfüllen.</w:t>
      </w:r>
      <w:r w:rsidR="00CF0886">
        <w:rPr>
          <w:rFonts w:ascii="Verdana" w:hAnsi="Verdana"/>
          <w:sz w:val="20"/>
          <w:szCs w:val="20"/>
        </w:rPr>
        <w:t>)</w:t>
      </w:r>
      <w:r w:rsidR="00B57F14">
        <w:rPr>
          <w:rFonts w:ascii="Verdana" w:hAnsi="Verdana"/>
          <w:sz w:val="20"/>
          <w:szCs w:val="20"/>
        </w:rPr>
        <w:br/>
      </w:r>
      <w:r w:rsidR="00B57F14" w:rsidRPr="00B57F14">
        <w:rPr>
          <w:rFonts w:ascii="Verdana" w:hAnsi="Verdana"/>
          <w:sz w:val="20"/>
          <w:szCs w:val="20"/>
        </w:rPr>
        <w:sym w:font="Wingdings" w:char="F0E0"/>
      </w:r>
      <w:r w:rsidR="00B57F14">
        <w:rPr>
          <w:rFonts w:ascii="Verdana" w:hAnsi="Verdana"/>
          <w:sz w:val="20"/>
          <w:szCs w:val="20"/>
        </w:rPr>
        <w:t xml:space="preserve">Entsandte Arbeitnehmer </w:t>
      </w:r>
      <w:r w:rsidR="00164235" w:rsidRPr="00164235">
        <w:rPr>
          <w:rFonts w:ascii="Verdana" w:hAnsi="Verdana"/>
          <w:i/>
          <w:sz w:val="20"/>
          <w:szCs w:val="20"/>
        </w:rPr>
        <w:t>(im Gegensatz zu mobilen Arbeitnehmern)</w:t>
      </w:r>
      <w:r w:rsidR="00164235">
        <w:rPr>
          <w:rFonts w:ascii="Verdana" w:hAnsi="Verdana"/>
          <w:sz w:val="20"/>
          <w:szCs w:val="20"/>
        </w:rPr>
        <w:t xml:space="preserve"> </w:t>
      </w:r>
      <w:r w:rsidR="00B57F14">
        <w:rPr>
          <w:rFonts w:ascii="Verdana" w:hAnsi="Verdana"/>
          <w:sz w:val="20"/>
          <w:szCs w:val="20"/>
        </w:rPr>
        <w:t xml:space="preserve">werden dann grundsätzlich nach Bedingungen ihres </w:t>
      </w:r>
      <w:bookmarkStart w:id="0" w:name="_GoBack"/>
      <w:r w:rsidR="00B57F14" w:rsidRPr="00164235">
        <w:rPr>
          <w:rFonts w:ascii="Verdana" w:hAnsi="Verdana"/>
          <w:i/>
          <w:sz w:val="20"/>
          <w:szCs w:val="20"/>
        </w:rPr>
        <w:t>Heimatlandes</w:t>
      </w:r>
      <w:bookmarkEnd w:id="0"/>
      <w:r w:rsidR="00B57F14">
        <w:rPr>
          <w:rFonts w:ascii="Verdana" w:hAnsi="Verdana"/>
          <w:sz w:val="20"/>
          <w:szCs w:val="20"/>
        </w:rPr>
        <w:t xml:space="preserve"> entlohnt.</w:t>
      </w:r>
      <w:r w:rsidR="00CF0886">
        <w:rPr>
          <w:rFonts w:ascii="Verdana" w:hAnsi="Verdana"/>
          <w:sz w:val="20"/>
          <w:szCs w:val="20"/>
        </w:rPr>
        <w:br/>
      </w:r>
      <w:r w:rsidR="00CF0886" w:rsidRPr="00CF0886">
        <w:rPr>
          <w:rFonts w:ascii="Verdana" w:hAnsi="Verdana"/>
          <w:sz w:val="20"/>
          <w:szCs w:val="20"/>
        </w:rPr>
        <w:sym w:font="Wingdings" w:char="F0E0"/>
      </w:r>
      <w:r w:rsidR="00CF0886">
        <w:rPr>
          <w:rFonts w:ascii="Verdana" w:hAnsi="Verdana"/>
          <w:sz w:val="20"/>
          <w:szCs w:val="20"/>
        </w:rPr>
        <w:t xml:space="preserve">Das </w:t>
      </w:r>
      <w:r w:rsidR="00CF0886" w:rsidRPr="00CF0886">
        <w:rPr>
          <w:rFonts w:ascii="Verdana" w:hAnsi="Verdana"/>
          <w:b/>
          <w:sz w:val="20"/>
          <w:szCs w:val="20"/>
        </w:rPr>
        <w:t>kompetitive Lohnmodell</w:t>
      </w:r>
      <w:r w:rsidR="00CF0886">
        <w:rPr>
          <w:rFonts w:ascii="Verdana" w:hAnsi="Verdana"/>
          <w:sz w:val="20"/>
          <w:szCs w:val="20"/>
        </w:rPr>
        <w:t xml:space="preserve"> entfällt, Ausschluss der Nutzung </w:t>
      </w:r>
      <w:r w:rsidR="00CF0886" w:rsidRPr="00B57F14">
        <w:rPr>
          <w:rFonts w:ascii="Verdana" w:hAnsi="Verdana"/>
          <w:b/>
          <w:sz w:val="20"/>
          <w:szCs w:val="20"/>
        </w:rPr>
        <w:t>komparativer Kostenvorteile</w:t>
      </w:r>
      <w:r w:rsidR="00CF0886">
        <w:rPr>
          <w:rFonts w:ascii="Verdana" w:hAnsi="Verdana"/>
          <w:sz w:val="20"/>
          <w:szCs w:val="20"/>
        </w:rPr>
        <w:t>.</w:t>
      </w:r>
    </w:p>
    <w:p w:rsidR="00E34997" w:rsidRDefault="00E34997">
      <w:pPr>
        <w:pStyle w:val="KeinLeerraum"/>
        <w:rPr>
          <w:rFonts w:ascii="Verdana" w:hAnsi="Verdana"/>
          <w:sz w:val="20"/>
          <w:szCs w:val="20"/>
        </w:rPr>
      </w:pPr>
    </w:p>
    <w:p w:rsidR="00CD2ED6" w:rsidRDefault="00E34997">
      <w:pPr>
        <w:pStyle w:val="KeinLeerraum"/>
        <w:rPr>
          <w:rFonts w:ascii="Verdana" w:hAnsi="Verdana"/>
          <w:sz w:val="20"/>
          <w:szCs w:val="20"/>
        </w:rPr>
      </w:pPr>
      <w:r w:rsidRPr="00E34997">
        <w:rPr>
          <w:rFonts w:ascii="Verdana" w:hAnsi="Verdana"/>
          <w:b/>
          <w:sz w:val="20"/>
          <w:szCs w:val="20"/>
        </w:rPr>
        <w:t>Trade-Off</w:t>
      </w:r>
      <w:r>
        <w:rPr>
          <w:rFonts w:ascii="Verdana" w:hAnsi="Verdana"/>
          <w:sz w:val="20"/>
          <w:szCs w:val="20"/>
        </w:rPr>
        <w:t>: Zwischen dem europäischen liberalen Effizienzparadigma</w:t>
      </w:r>
      <w:r w:rsidR="003758A7">
        <w:rPr>
          <w:rFonts w:ascii="Verdana" w:hAnsi="Verdana"/>
          <w:sz w:val="20"/>
          <w:szCs w:val="20"/>
        </w:rPr>
        <w:t xml:space="preserve"> </w:t>
      </w:r>
      <w:r w:rsidR="00CD2ED6">
        <w:rPr>
          <w:rFonts w:ascii="Verdana" w:hAnsi="Verdana"/>
          <w:sz w:val="20"/>
          <w:szCs w:val="20"/>
        </w:rPr>
        <w:t xml:space="preserve">zur Nutzung komparativer Kostenvorteile </w:t>
      </w:r>
      <w:r w:rsidR="003758A7">
        <w:rPr>
          <w:rFonts w:ascii="Verdana" w:hAnsi="Verdana"/>
          <w:sz w:val="20"/>
          <w:szCs w:val="20"/>
        </w:rPr>
        <w:t xml:space="preserve">und eines institutionellen Wettbewerbs </w:t>
      </w:r>
      <w:r>
        <w:rPr>
          <w:rFonts w:ascii="Verdana" w:hAnsi="Verdana"/>
          <w:sz w:val="20"/>
          <w:szCs w:val="20"/>
        </w:rPr>
        <w:t>und nationale Tarifverträge als Pro</w:t>
      </w:r>
      <w:r w:rsidR="003758A7">
        <w:rPr>
          <w:rFonts w:ascii="Verdana" w:hAnsi="Verdana"/>
          <w:sz w:val="20"/>
          <w:szCs w:val="20"/>
        </w:rPr>
        <w:t>tektionismus.</w:t>
      </w:r>
    </w:p>
    <w:p w:rsidR="00CD2ED6" w:rsidRDefault="003758A7" w:rsidP="00CD2ED6">
      <w:pPr>
        <w:pStyle w:val="KeinLeerraum"/>
        <w:rPr>
          <w:rFonts w:ascii="Verdana" w:hAnsi="Verdana"/>
          <w:sz w:val="20"/>
          <w:szCs w:val="20"/>
        </w:rPr>
      </w:pPr>
      <w:r w:rsidRPr="003758A7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Der EuGH löst </w:t>
      </w:r>
      <w:proofErr w:type="spellStart"/>
      <w:r>
        <w:rPr>
          <w:rFonts w:ascii="Verdana" w:hAnsi="Verdana"/>
          <w:sz w:val="20"/>
          <w:szCs w:val="20"/>
        </w:rPr>
        <w:t>trade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offs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idR</w:t>
      </w:r>
      <w:proofErr w:type="spellEnd"/>
      <w:r>
        <w:rPr>
          <w:rFonts w:ascii="Verdana" w:hAnsi="Verdana"/>
          <w:sz w:val="20"/>
          <w:szCs w:val="20"/>
        </w:rPr>
        <w:t xml:space="preserve"> Im Sinne allokativer Effizienz und entbindet Tarifverträge deshalb von ihrem </w:t>
      </w:r>
      <w:r>
        <w:rPr>
          <w:rFonts w:ascii="Verdana" w:hAnsi="Verdana"/>
          <w:sz w:val="20"/>
          <w:szCs w:val="20"/>
        </w:rPr>
        <w:t>verfassungsrechtlichen Schutz</w:t>
      </w:r>
      <w:r>
        <w:rPr>
          <w:rFonts w:ascii="Verdana" w:hAnsi="Verdana"/>
          <w:sz w:val="20"/>
          <w:szCs w:val="20"/>
        </w:rPr>
        <w:t>.</w:t>
      </w:r>
    </w:p>
    <w:p w:rsidR="003758A7" w:rsidRDefault="003758A7" w:rsidP="00CD2ED6">
      <w:pPr>
        <w:pStyle w:val="KeinLeerraum"/>
        <w:rPr>
          <w:rFonts w:ascii="Verdana" w:hAnsi="Verdana"/>
          <w:sz w:val="20"/>
          <w:szCs w:val="20"/>
        </w:rPr>
      </w:pPr>
    </w:p>
    <w:p w:rsidR="00CF0886" w:rsidRDefault="00CF0886" w:rsidP="00CD2ED6">
      <w:pPr>
        <w:pStyle w:val="KeinLeerraum"/>
        <w:rPr>
          <w:rFonts w:ascii="Verdana" w:hAnsi="Verdana"/>
          <w:sz w:val="20"/>
          <w:szCs w:val="20"/>
        </w:rPr>
      </w:pPr>
      <w:r w:rsidRPr="00CF0886">
        <w:rPr>
          <w:rFonts w:ascii="Verdana" w:hAnsi="Verdana"/>
          <w:b/>
          <w:sz w:val="20"/>
          <w:szCs w:val="20"/>
        </w:rPr>
        <w:t>Grundrechte Charta der EU</w:t>
      </w:r>
      <w:r>
        <w:rPr>
          <w:rFonts w:ascii="Verdana" w:hAnsi="Verdana"/>
          <w:sz w:val="20"/>
          <w:szCs w:val="20"/>
        </w:rPr>
        <w:t>: gilt ausdrückli</w:t>
      </w:r>
      <w:r w:rsidR="00B57F14">
        <w:rPr>
          <w:rFonts w:ascii="Verdana" w:hAnsi="Verdana"/>
          <w:sz w:val="20"/>
          <w:szCs w:val="20"/>
        </w:rPr>
        <w:t>ch gleichrangig neben dem AEUV.</w:t>
      </w:r>
    </w:p>
    <w:p w:rsidR="00B57F14" w:rsidRDefault="00B57F14" w:rsidP="00CD2ED6">
      <w:pPr>
        <w:pStyle w:val="KeinLeerraum"/>
        <w:rPr>
          <w:rFonts w:ascii="Verdana" w:hAnsi="Verdana"/>
          <w:sz w:val="20"/>
          <w:szCs w:val="20"/>
        </w:rPr>
      </w:pPr>
    </w:p>
    <w:p w:rsidR="00B57F14" w:rsidRDefault="00B57F14" w:rsidP="00CD2ED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B57F14" w:rsidRDefault="00B57F14" w:rsidP="00CD2ED6">
      <w:pPr>
        <w:pStyle w:val="KeinLeerraum"/>
        <w:rPr>
          <w:rFonts w:ascii="Verdana" w:hAnsi="Verdana"/>
          <w:sz w:val="20"/>
          <w:szCs w:val="20"/>
        </w:rPr>
      </w:pPr>
    </w:p>
    <w:p w:rsidR="00B57F14" w:rsidRDefault="00B57F14" w:rsidP="00CD2ED6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B57F14">
        <w:rPr>
          <w:rFonts w:ascii="Verdana" w:hAnsi="Verdana"/>
          <w:b/>
          <w:sz w:val="20"/>
          <w:szCs w:val="20"/>
          <w:u w:val="single"/>
        </w:rPr>
        <w:t>Exkurs</w:t>
      </w:r>
    </w:p>
    <w:p w:rsidR="00B57F14" w:rsidRDefault="00B57F14" w:rsidP="00CD2ED6">
      <w:pPr>
        <w:pStyle w:val="KeinLeerraum"/>
        <w:rPr>
          <w:rFonts w:ascii="Verdana" w:hAnsi="Verdana"/>
          <w:b/>
          <w:sz w:val="20"/>
          <w:szCs w:val="20"/>
          <w:u w:val="single"/>
        </w:rPr>
      </w:pPr>
    </w:p>
    <w:p w:rsidR="00B57F14" w:rsidRDefault="003758A7" w:rsidP="00CD2ED6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Kritik </w:t>
      </w:r>
      <w:r w:rsidR="00B57F14" w:rsidRPr="00B57F14">
        <w:rPr>
          <w:rFonts w:ascii="Verdana" w:hAnsi="Verdana"/>
          <w:b/>
          <w:sz w:val="20"/>
          <w:szCs w:val="20"/>
        </w:rPr>
        <w:t>Ständegesellschaft</w:t>
      </w:r>
      <w:r w:rsidR="00B57F14">
        <w:rPr>
          <w:rFonts w:ascii="Verdana" w:hAnsi="Verdana"/>
          <w:sz w:val="20"/>
          <w:szCs w:val="20"/>
        </w:rPr>
        <w:t>: Tarifverträge regulieren nicht über staatliche Gesetzgebungen, sondern ständische Körperschaften (Antagonismus).</w:t>
      </w:r>
    </w:p>
    <w:p w:rsidR="00B57F14" w:rsidRDefault="00B57F14" w:rsidP="00CD2ED6">
      <w:pPr>
        <w:pStyle w:val="KeinLeerraum"/>
        <w:rPr>
          <w:rFonts w:ascii="Verdana" w:hAnsi="Verdana"/>
          <w:sz w:val="20"/>
          <w:szCs w:val="20"/>
        </w:rPr>
      </w:pPr>
      <w:r w:rsidRPr="00B57F14">
        <w:rPr>
          <w:rFonts w:ascii="Verdana" w:hAnsi="Verdana"/>
          <w:sz w:val="20"/>
          <w:szCs w:val="20"/>
        </w:rPr>
        <w:sym w:font="Wingdings" w:char="F0E0"/>
      </w:r>
      <w:r w:rsidRPr="00B57F14">
        <w:rPr>
          <w:rFonts w:ascii="Verdana" w:hAnsi="Verdana"/>
          <w:b/>
          <w:sz w:val="20"/>
          <w:szCs w:val="20"/>
        </w:rPr>
        <w:t>Gewerkschaften</w:t>
      </w:r>
      <w:r>
        <w:rPr>
          <w:rFonts w:ascii="Verdana" w:hAnsi="Verdana"/>
          <w:sz w:val="20"/>
          <w:szCs w:val="20"/>
        </w:rPr>
        <w:t>: sind intrinsisch fixierte Institutionen, die partikulare Interessen durch Ausübung von Druck verfolgen.</w:t>
      </w:r>
      <w:r w:rsidR="003758A7">
        <w:rPr>
          <w:rFonts w:ascii="Verdana" w:hAnsi="Verdana"/>
          <w:sz w:val="20"/>
          <w:szCs w:val="20"/>
        </w:rPr>
        <w:br/>
      </w:r>
      <w:r w:rsidR="003758A7" w:rsidRPr="003758A7">
        <w:rPr>
          <w:rFonts w:ascii="Verdana" w:hAnsi="Verdana"/>
          <w:sz w:val="20"/>
          <w:szCs w:val="20"/>
        </w:rPr>
        <w:sym w:font="Wingdings" w:char="F0E0"/>
      </w:r>
      <w:r w:rsidR="003758A7" w:rsidRPr="003758A7">
        <w:rPr>
          <w:rFonts w:ascii="Verdana" w:hAnsi="Verdana"/>
          <w:b/>
          <w:sz w:val="20"/>
          <w:szCs w:val="20"/>
        </w:rPr>
        <w:t>Regierungen</w:t>
      </w:r>
      <w:r w:rsidR="003758A7">
        <w:rPr>
          <w:rFonts w:ascii="Verdana" w:hAnsi="Verdana"/>
          <w:sz w:val="20"/>
          <w:szCs w:val="20"/>
        </w:rPr>
        <w:t xml:space="preserve">: dagegen </w:t>
      </w:r>
      <w:proofErr w:type="gramStart"/>
      <w:r w:rsidR="003758A7">
        <w:rPr>
          <w:rFonts w:ascii="Verdana" w:hAnsi="Verdana"/>
          <w:sz w:val="20"/>
          <w:szCs w:val="20"/>
        </w:rPr>
        <w:t>repräsentieren</w:t>
      </w:r>
      <w:proofErr w:type="gramEnd"/>
      <w:r w:rsidR="003758A7">
        <w:rPr>
          <w:rFonts w:ascii="Verdana" w:hAnsi="Verdana"/>
          <w:sz w:val="20"/>
          <w:szCs w:val="20"/>
        </w:rPr>
        <w:t xml:space="preserve"> eine pluralistische Gesellschaft.</w:t>
      </w:r>
    </w:p>
    <w:p w:rsidR="00B57F14" w:rsidRDefault="00B57F14" w:rsidP="00CD2ED6">
      <w:pPr>
        <w:pStyle w:val="KeinLeerraum"/>
        <w:rPr>
          <w:rFonts w:ascii="Verdana" w:hAnsi="Verdana"/>
          <w:sz w:val="20"/>
          <w:szCs w:val="20"/>
        </w:rPr>
      </w:pPr>
    </w:p>
    <w:p w:rsidR="00B31665" w:rsidRDefault="00B31665" w:rsidP="00B31665">
      <w:pPr>
        <w:pStyle w:val="KeinLeerraum"/>
        <w:rPr>
          <w:rFonts w:ascii="Verdana" w:hAnsi="Verdana"/>
          <w:sz w:val="20"/>
          <w:szCs w:val="20"/>
        </w:rPr>
      </w:pPr>
      <w:r w:rsidRPr="00B31665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B31665">
        <w:rPr>
          <w:rFonts w:ascii="Verdana" w:hAnsi="Verdana"/>
          <w:sz w:val="20"/>
          <w:szCs w:val="20"/>
        </w:rPr>
        <w:t>Der EuGH reaktiviert wirtschaftsliberale Indikatoren (Clubgüter) der EU, die mit legislativer Kompetenz zum Beispiel im Rahmen der ausgeschlossenen Patientenmobilität (Territorialprinzip) oder der Entsende-Richtlinie zunächst im Sinn des Pareto-Kriteriums begrenzt wurden.</w:t>
      </w:r>
    </w:p>
    <w:p w:rsidR="00B31665" w:rsidRDefault="00B31665" w:rsidP="00B31665">
      <w:pPr>
        <w:pStyle w:val="KeinLeerraum"/>
        <w:rPr>
          <w:rFonts w:ascii="Verdana" w:hAnsi="Verdana"/>
          <w:sz w:val="20"/>
          <w:szCs w:val="20"/>
        </w:rPr>
      </w:pPr>
    </w:p>
    <w:p w:rsidR="00B31665" w:rsidRPr="0076688B" w:rsidRDefault="00B31665" w:rsidP="0076688B">
      <w:pPr>
        <w:pStyle w:val="KeinLeerraum"/>
        <w:rPr>
          <w:rFonts w:ascii="Verdana" w:hAnsi="Verdana"/>
          <w:sz w:val="20"/>
          <w:szCs w:val="20"/>
        </w:rPr>
      </w:pPr>
      <w:r w:rsidRPr="0076688B">
        <w:rPr>
          <w:rFonts w:ascii="Verdana" w:hAnsi="Verdana"/>
          <w:b/>
          <w:sz w:val="20"/>
          <w:szCs w:val="20"/>
        </w:rPr>
        <w:t>Rheinland-Modell</w:t>
      </w:r>
      <w:r w:rsidRPr="0076688B">
        <w:rPr>
          <w:rFonts w:ascii="Verdana" w:hAnsi="Verdana"/>
          <w:sz w:val="20"/>
          <w:szCs w:val="20"/>
        </w:rPr>
        <w:t>: Modell der sozialen Marktwirtschaft ("organisierter Kapitalismus").</w:t>
      </w:r>
      <w:r w:rsidRPr="0076688B">
        <w:rPr>
          <w:rFonts w:ascii="Verdana" w:hAnsi="Verdana"/>
          <w:sz w:val="20"/>
          <w:szCs w:val="20"/>
        </w:rPr>
        <w:br/>
      </w:r>
      <w:r w:rsidRPr="0076688B">
        <w:rPr>
          <w:rFonts w:ascii="Verdana" w:hAnsi="Verdana"/>
          <w:b/>
          <w:sz w:val="20"/>
          <w:szCs w:val="20"/>
        </w:rPr>
        <w:t>Angelsächsisches Modell</w:t>
      </w:r>
      <w:r w:rsidRPr="0076688B">
        <w:rPr>
          <w:rFonts w:ascii="Verdana" w:hAnsi="Verdana"/>
          <w:sz w:val="20"/>
          <w:szCs w:val="20"/>
        </w:rPr>
        <w:t xml:space="preserve">: Modell des </w:t>
      </w:r>
      <w:r w:rsidR="0076688B">
        <w:rPr>
          <w:rFonts w:ascii="Verdana" w:hAnsi="Verdana"/>
          <w:sz w:val="20"/>
          <w:szCs w:val="20"/>
        </w:rPr>
        <w:t xml:space="preserve">angelsächsischen Kapitalismus </w:t>
      </w:r>
      <w:r w:rsidRPr="0076688B">
        <w:rPr>
          <w:rFonts w:ascii="Verdana" w:hAnsi="Verdana"/>
          <w:sz w:val="20"/>
          <w:szCs w:val="20"/>
        </w:rPr>
        <w:t>(Chicago School).</w:t>
      </w:r>
    </w:p>
    <w:p w:rsidR="00B31665" w:rsidRPr="0076688B" w:rsidRDefault="00B31665" w:rsidP="0076688B">
      <w:pPr>
        <w:pStyle w:val="KeinLeerraum"/>
        <w:rPr>
          <w:rFonts w:ascii="Verdana" w:hAnsi="Verdana"/>
          <w:sz w:val="20"/>
          <w:szCs w:val="20"/>
        </w:rPr>
      </w:pPr>
    </w:p>
    <w:p w:rsidR="00B31665" w:rsidRDefault="00B31665" w:rsidP="0076688B">
      <w:pPr>
        <w:pStyle w:val="KeinLeerraum"/>
        <w:rPr>
          <w:rFonts w:ascii="Verdana" w:hAnsi="Verdana"/>
          <w:sz w:val="20"/>
          <w:szCs w:val="20"/>
        </w:rPr>
      </w:pPr>
      <w:r w:rsidRPr="0076688B">
        <w:rPr>
          <w:rFonts w:ascii="Verdana" w:hAnsi="Verdana"/>
          <w:b/>
          <w:sz w:val="20"/>
          <w:szCs w:val="20"/>
        </w:rPr>
        <w:lastRenderedPageBreak/>
        <w:t>EU-Vertrag</w:t>
      </w:r>
      <w:r w:rsidRPr="0076688B">
        <w:rPr>
          <w:rFonts w:ascii="Verdana" w:hAnsi="Verdana"/>
          <w:sz w:val="20"/>
          <w:szCs w:val="20"/>
        </w:rPr>
        <w:t>: die EU eine „in hohem Maße wettbewerbsfähige soziale Marktwirtschaft“ realisieren.</w:t>
      </w:r>
      <w:r w:rsidRPr="0076688B">
        <w:rPr>
          <w:rFonts w:ascii="Verdana" w:hAnsi="Verdana"/>
          <w:sz w:val="20"/>
          <w:szCs w:val="20"/>
        </w:rPr>
        <w:br/>
      </w:r>
      <w:r w:rsidRPr="0076688B">
        <w:rPr>
          <w:rFonts w:ascii="Verdana" w:hAnsi="Verdana"/>
          <w:sz w:val="20"/>
          <w:szCs w:val="20"/>
        </w:rPr>
        <w:sym w:font="Wingdings" w:char="F0E0"/>
      </w:r>
      <w:r w:rsidR="0076688B">
        <w:rPr>
          <w:rFonts w:ascii="Verdana" w:hAnsi="Verdana"/>
          <w:sz w:val="20"/>
          <w:szCs w:val="20"/>
        </w:rPr>
        <w:t xml:space="preserve">Der Terminus </w:t>
      </w:r>
      <w:r w:rsidR="0076688B" w:rsidRPr="0076688B">
        <w:rPr>
          <w:rFonts w:ascii="Verdana" w:hAnsi="Verdana"/>
          <w:sz w:val="20"/>
          <w:szCs w:val="20"/>
        </w:rPr>
        <w:t>"</w:t>
      </w:r>
      <w:r w:rsidR="0076688B" w:rsidRPr="0076688B">
        <w:rPr>
          <w:rFonts w:ascii="Verdana" w:hAnsi="Verdana"/>
          <w:b/>
          <w:sz w:val="20"/>
          <w:szCs w:val="20"/>
        </w:rPr>
        <w:t>soziale Marktwirtschaft</w:t>
      </w:r>
      <w:r w:rsidR="0076688B" w:rsidRPr="0076688B">
        <w:rPr>
          <w:rFonts w:ascii="Verdana" w:hAnsi="Verdana"/>
          <w:sz w:val="20"/>
          <w:szCs w:val="20"/>
        </w:rPr>
        <w:t xml:space="preserve">" ist hier im Sinne der </w:t>
      </w:r>
      <w:proofErr w:type="spellStart"/>
      <w:r w:rsidR="0076688B" w:rsidRPr="0076688B">
        <w:rPr>
          <w:rFonts w:ascii="Verdana" w:hAnsi="Verdana"/>
          <w:sz w:val="20"/>
          <w:szCs w:val="20"/>
        </w:rPr>
        <w:t>Ordnungpolitik</w:t>
      </w:r>
      <w:proofErr w:type="spellEnd"/>
      <w:r w:rsidR="0076688B" w:rsidRPr="0076688B">
        <w:rPr>
          <w:rFonts w:ascii="Verdana" w:hAnsi="Verdana"/>
          <w:sz w:val="20"/>
          <w:szCs w:val="20"/>
        </w:rPr>
        <w:t xml:space="preserve"> und weniger im ursprünglichen Wortsinne zu verstehen.</w:t>
      </w:r>
    </w:p>
    <w:p w:rsidR="00E54F79" w:rsidRDefault="00E54F79" w:rsidP="0076688B">
      <w:pPr>
        <w:pStyle w:val="KeinLeerraum"/>
        <w:rPr>
          <w:rFonts w:ascii="Verdana" w:hAnsi="Verdana"/>
          <w:sz w:val="20"/>
          <w:szCs w:val="20"/>
        </w:rPr>
      </w:pPr>
    </w:p>
    <w:p w:rsidR="00E54F79" w:rsidRPr="00E54F79" w:rsidRDefault="00E54F79" w:rsidP="00E54F79">
      <w:pPr>
        <w:pStyle w:val="KeinLeerraum"/>
        <w:rPr>
          <w:rFonts w:ascii="Verdana" w:hAnsi="Verdana"/>
          <w:sz w:val="20"/>
          <w:szCs w:val="20"/>
        </w:rPr>
      </w:pPr>
      <w:r w:rsidRPr="00E54F79">
        <w:rPr>
          <w:rFonts w:ascii="Verdana" w:hAnsi="Verdana"/>
          <w:b/>
          <w:sz w:val="20"/>
          <w:szCs w:val="20"/>
        </w:rPr>
        <w:t>Sitztheorie</w:t>
      </w:r>
      <w:r>
        <w:rPr>
          <w:rFonts w:ascii="Verdana" w:hAnsi="Verdana"/>
          <w:sz w:val="20"/>
          <w:szCs w:val="20"/>
        </w:rPr>
        <w:t>: die Rechtsverhältnisse richten sich nach dem tatsächlichen Firmensitz.</w:t>
      </w:r>
      <w:r>
        <w:rPr>
          <w:rFonts w:ascii="Verdana" w:hAnsi="Verdana"/>
          <w:sz w:val="20"/>
          <w:szCs w:val="20"/>
        </w:rPr>
        <w:br/>
      </w:r>
      <w:r w:rsidRPr="00E54F79">
        <w:rPr>
          <w:rFonts w:ascii="Verdana" w:hAnsi="Verdana"/>
          <w:b/>
          <w:sz w:val="20"/>
          <w:szCs w:val="20"/>
        </w:rPr>
        <w:t>EuGH</w:t>
      </w:r>
      <w:r>
        <w:rPr>
          <w:rFonts w:ascii="Verdana" w:hAnsi="Verdana"/>
          <w:sz w:val="20"/>
          <w:szCs w:val="20"/>
        </w:rPr>
        <w:t xml:space="preserve">: verwirft die Sitztheorie </w:t>
      </w:r>
      <w:r w:rsidRPr="00E54F79">
        <w:rPr>
          <w:rFonts w:ascii="Verdana" w:hAnsi="Verdana"/>
          <w:sz w:val="20"/>
          <w:szCs w:val="20"/>
        </w:rPr>
        <w:t xml:space="preserve">zum Vorteil mobiler Faktoren </w:t>
      </w:r>
      <w:r w:rsidRPr="00E54F79">
        <w:rPr>
          <w:rFonts w:ascii="Verdana" w:hAnsi="Verdana"/>
          <w:i/>
          <w:sz w:val="20"/>
          <w:szCs w:val="20"/>
        </w:rPr>
        <w:t>(Nutzung komparativer Kostenvorteile)</w:t>
      </w:r>
      <w:r w:rsidRPr="00E54F79">
        <w:rPr>
          <w:rFonts w:ascii="Verdana" w:hAnsi="Verdana"/>
          <w:sz w:val="20"/>
          <w:szCs w:val="20"/>
        </w:rPr>
        <w:t>.</w:t>
      </w:r>
    </w:p>
    <w:sectPr w:rsidR="00E54F79" w:rsidRPr="00E54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C38"/>
    <w:multiLevelType w:val="hybridMultilevel"/>
    <w:tmpl w:val="A470C452"/>
    <w:lvl w:ilvl="0" w:tplc="7BD29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6"/>
    <w:rsid w:val="000341B0"/>
    <w:rsid w:val="00115052"/>
    <w:rsid w:val="00164235"/>
    <w:rsid w:val="003758A7"/>
    <w:rsid w:val="0067272B"/>
    <w:rsid w:val="006F13B0"/>
    <w:rsid w:val="0076688B"/>
    <w:rsid w:val="00A73D21"/>
    <w:rsid w:val="00B31665"/>
    <w:rsid w:val="00B57F14"/>
    <w:rsid w:val="00CD2ED6"/>
    <w:rsid w:val="00CF0886"/>
    <w:rsid w:val="00DA6BA7"/>
    <w:rsid w:val="00E34997"/>
    <w:rsid w:val="00E54F79"/>
    <w:rsid w:val="00EF35A6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F742-F2B0-4839-880E-7DCA124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7272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27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KeinLeerraum">
    <w:name w:val="No Spacing"/>
    <w:uiPriority w:val="1"/>
    <w:qFormat/>
    <w:rsid w:val="0067272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150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150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Heinle</dc:creator>
  <cp:keywords/>
  <dc:description/>
  <cp:lastModifiedBy>Johannes Heinle</cp:lastModifiedBy>
  <cp:revision>3</cp:revision>
  <dcterms:created xsi:type="dcterms:W3CDTF">2018-07-19T21:05:00Z</dcterms:created>
  <dcterms:modified xsi:type="dcterms:W3CDTF">2018-07-19T23:33:00Z</dcterms:modified>
</cp:coreProperties>
</file>